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COLLEGE LE CARBET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623C0CE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4124325" cy="92392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23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44"/>
                              </w:rPr>
                              <w:t>FOURNITURES SCOLAIRES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color w:val="000000"/>
                                <w:sz w:val="44"/>
                              </w:rPr>
                              <w:t>Rentrée 2019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24.75pt;height:72.75pt;mso-wrap-distance-left:9pt;mso-wrap-distance-right:9pt;mso-wrap-distance-top:0pt;mso-wrap-distance-bottom:0pt;margin-top:0.7pt;mso-position-vertical-relative:text;margin-left:81pt;mso-position-horizontal-relative:text" w14:anchorId="6623C0CE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44"/>
                        </w:rPr>
                        <w:t>FOURNITURES SCOLAIRES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/>
                          <w:color w:val="000000"/>
                          <w:sz w:val="44"/>
                        </w:rPr>
                        <w:t>Rentrée 2019</w:t>
                      </w:r>
                    </w:p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8295" w:leader="none"/>
        </w:tabs>
        <w:rPr>
          <w:sz w:val="24"/>
          <w:sz w:val="24"/>
          <w:szCs w:val="24"/>
          <w:rFonts w:ascii="Century Gothic" w:hAnsi="Century Gothic" w:eastAsia="Century Gothic" w:cs="Century Gothic"/>
          <w:lang w:eastAsia="fr-FR"/>
        </w:rPr>
      </w:pPr>
      <w:r>
        <w:rPr/>
        <w:tab/>
      </w:r>
      <w:r/>
    </w:p>
    <w:p>
      <w:pPr>
        <w:pStyle w:val="Normal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</w:rPr>
        <w:t>Niveau 3</w:t>
      </w:r>
      <w:r>
        <w:rPr>
          <w:rFonts w:eastAsia="Times New Roman" w:cs="Times New Roman" w:ascii="Times New Roman" w:hAnsi="Times New Roman"/>
          <w:b/>
          <w:i/>
          <w:sz w:val="36"/>
          <w:szCs w:val="36"/>
          <w:vertAlign w:val="superscript"/>
        </w:rPr>
        <w:t>ème</w:t>
      </w:r>
      <w:r/>
    </w:p>
    <w:p>
      <w:pPr>
        <w:pStyle w:val="Normal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</w:rPr>
      </w:r>
      <w:r/>
    </w:p>
    <w:p>
      <w:pPr>
        <w:pStyle w:val="Normal"/>
        <w:tabs>
          <w:tab w:val="left" w:pos="1701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Cette liste de fournitures a été élaborée en tenant compte des objectifs institutionnels suivants :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Réduire le coût financier pour vous parents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Alléger le cartable de vos enfants.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Vous permettre d’échelonner vos achats sur l’année.</w:t>
      </w:r>
      <w:r/>
    </w:p>
    <w:p>
      <w:pPr>
        <w:pStyle w:val="Normal"/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Elle a été présentée, au conseil d’administration de l’établissement, le 26 juin 2019.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</w:rPr>
      </w:r>
      <w:r/>
    </w:p>
    <w:tbl>
      <w:tblPr>
        <w:tblStyle w:val="Grilledutableau"/>
        <w:tblW w:w="9062" w:type="dxa"/>
        <w:jc w:val="left"/>
        <w:tblInd w:w="-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88"/>
        <w:gridCol w:w="6373"/>
      </w:tblGrid>
      <w:tr>
        <w:trPr>
          <w:trHeight w:val="1134" w:hRule="atLeast"/>
          <w:cantSplit w:val="true"/>
        </w:trPr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MATERIEL COMMUN 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i/>
              </w:rPr>
              <w:t>A toutes les disciplines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trieur A4, 6 compartiments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textes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règle plate en plastique de 30 cm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3 stylos à bille de 4 couleurs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crayon noir HB, 12 H ou 3 H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taille crayon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gomme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boîte de crayons de couleurs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tube de colle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équerre en plastique transparent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rapporteur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compas </w:t>
            </w:r>
            <w:r>
              <w:rPr>
                <w:rFonts w:eastAsia="Times New Roman" w:cs="Times New Roman" w:ascii="Times New Roman" w:hAnsi="Times New Roman"/>
                <w:i/>
              </w:rPr>
              <w:t>(pour la maison)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calque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millimétré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blanc,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doubles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Feuilles simples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Ecouteurs ou casque 3,5 mm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rame de papier A4, 80g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clé USB 4G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</w:tr>
      <w:tr>
        <w:trPr>
          <w:trHeight w:val="70" w:hRule="atLeast"/>
        </w:trPr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        </w:t>
            </w:r>
            <w:r/>
          </w:p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LETTRES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lutin ou pochette (pour ranger devoirs et corrections)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192 pages, format 24x32 à grands carreaux sans spirales + protège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 de 96 pages, à grands carreaux sans spirales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doubles et feuilles simples grands carreaux, petit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dictionnaire de langue française avec les noms propres (Larousse, Robert...)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jc w:val="both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1308" w:hRule="atLeast"/>
        </w:trPr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MATHEMATIQUES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classeur A4 (pour la maison)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Feuilles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calculatrice collège (Texas instrument)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</w:pPr>
            <w:r>
              <w:rPr>
                <w:rFonts w:eastAsia="Times New Roman" w:cs="Times New Roman" w:ascii="Times New Roman" w:hAnsi="Times New Roman"/>
                <w:color w:val="FF0000"/>
                <w:sz w:val="22"/>
                <w:szCs w:val="22"/>
              </w:rPr>
              <w:t xml:space="preserve"> </w:t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HISTOIRE-GEOGRAPHIE - ENSEIGNEMENT MORAL ET CIVIQUE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cahier, format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24 x 32 cm, à grands carreaux de 200 pages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+ protège vert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SCIENCES PHYSIQUES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cahier, grand format (24 x 32) de 96 pages à grands carreaux + protège cahier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grande enveloppe (format C4, 22,9 x 32,4 cm (pour contenir des feuilles A4)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Le cahier de l’année précédente peut être réutilisé.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SCIENCES DE LA VIE ET DE LA TERRE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classeur souple, grand format, à gros anneaux, dos 3 cm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Le classeur de l’année précédente peut être utilisé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Feuilles simples grand format, grands carreaux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 intercalaires cartonnés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TECHNOLOGIE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classeur souple pour feuilles de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Copies simples grand format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i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ANGLAIS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 cahier de 200 pages, grand format à grands carreaux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dictionnaire bilingue  français/anglais / anglais/français</w:t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ESPAGNOL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classeur A4 rouge (pour le classement à la maison)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Feuilles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</w:pPr>
            <w:r>
              <w:rPr>
                <w:rFonts w:eastAsia="Times New Roman" w:cs="Times New Roman" w:ascii="Times New Roman" w:hAnsi="Times New Roman"/>
              </w:rPr>
              <w:t>1 petit dictionnaire espagnol/français - français/espagnol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/>
          </w:p>
        </w:tc>
      </w:tr>
      <w:tr>
        <w:trPr>
          <w:trHeight w:val="617" w:hRule="atLeast"/>
        </w:trPr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CREOLE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cahier, format 24x32 de 96 pages + protège rose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Titre2"/>
              <w:numPr>
                <w:ilvl w:val="0"/>
                <w:numId w:val="0"/>
              </w:numPr>
              <w:spacing w:lineRule="auto" w:line="24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</w:r>
            <w:r/>
          </w:p>
          <w:p>
            <w:pPr>
              <w:pStyle w:val="Titre2"/>
              <w:numPr>
                <w:ilvl w:val="0"/>
                <w:numId w:val="0"/>
              </w:numPr>
              <w:spacing w:lineRule="auto" w:line="24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</w:r>
            <w:r/>
          </w:p>
          <w:p>
            <w:pPr>
              <w:pStyle w:val="Titre2"/>
              <w:numPr>
                <w:ilvl w:val="0"/>
                <w:numId w:val="0"/>
              </w:numPr>
              <w:spacing w:lineRule="auto" w:line="24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  <w:t>LATIN</w:t>
            </w:r>
            <w:r/>
          </w:p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 de 96 pages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simples et doubles, petit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chemises cartonnées de couleur, sans élastique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</w:tc>
      </w:tr>
      <w:tr>
        <w:trPr>
          <w:trHeight w:val="861" w:hRule="atLeast"/>
        </w:trPr>
        <w:tc>
          <w:tcPr>
            <w:tcW w:w="268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EDUCATION MUSICALE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Orchestre / chorale </w:t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(facultatif) 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lutin de 100 transparents avec des feuilles pour écrire</w:t>
            </w:r>
            <w:r/>
          </w:p>
        </w:tc>
      </w:tr>
      <w:tr>
        <w:trPr>
          <w:trHeight w:val="1155" w:hRule="atLeast"/>
        </w:trPr>
        <w:tc>
          <w:tcPr>
            <w:tcW w:w="2688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</w:rPr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Chorale</w:t>
            </w:r>
            <w:r/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lutin de 100 vues </w:t>
            </w:r>
            <w:r/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Prévoir l’achat d’un  tee-shirt (tarif 5 euros) auprès du professeur.</w:t>
            </w:r>
            <w:r/>
          </w:p>
          <w:p>
            <w:pPr>
              <w:pStyle w:val="Normal"/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>
          <w:trHeight w:val="58" w:hRule="atLeast"/>
        </w:trPr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i/>
                <w:sz w:val="28"/>
                <w:i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EDUCATION PHYSIQUE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  <w:p>
            <w:pPr>
              <w:pStyle w:val="Normal"/>
              <w:spacing w:lineRule="auto" w:line="240"/>
              <w:rPr>
                <w:sz w:val="28"/>
                <w:i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paire de chaussures de sport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short bleu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tee-shirt avec logo du collège, en vente en début d’année scolaire au collège, (au tarif de 8 euros l’unité)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serviette de toilette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déodorant</w:t>
            </w:r>
            <w:r/>
          </w:p>
          <w:p>
            <w:pPr>
              <w:pStyle w:val="Normal"/>
              <w:tabs>
                <w:tab w:val="left" w:pos="851" w:leader="none"/>
              </w:tabs>
              <w:spacing w:lineRule="auto" w:line="240"/>
              <w:rPr>
                <w:sz w:val="28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 xml:space="preserve">Piscine :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maillot 1 pièce pour les filles et slip de bain pour les garçons </w:t>
            </w:r>
            <w:r>
              <w:rPr>
                <w:rFonts w:eastAsia="Times New Roman" w:cs="Times New Roman" w:ascii="Times New Roman" w:hAnsi="Times New Roman"/>
                <w:b/>
              </w:rPr>
              <w:t>(short de bain interdit)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bonnet de bain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26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4"/>
                <w:i/>
                <w:b/>
                <w:sz w:val="24"/>
                <w:i/>
                <w:b/>
                <w:szCs w:val="24"/>
                <w:iCs/>
                <w:rFonts w:ascii="Calibri Light" w:hAnsi="Calibri Light" w:eastAsia="" w:cs="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/>
              <w:outlineLvl w:val="3"/>
              <w:rPr>
                <w:sz w:val="24"/>
                <w:i/>
                <w:b/>
                <w:sz w:val="24"/>
                <w:i/>
                <w:b/>
                <w:szCs w:val="24"/>
                <w:iCs/>
                <w:rFonts w:ascii="Calibri Light" w:hAnsi="Calibri Light" w:eastAsia="" w:cs="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/>
              <w:outlineLvl w:val="3"/>
              <w:rPr>
                <w:sz w:val="24"/>
                <w:i/>
                <w:b/>
                <w:sz w:val="24"/>
                <w:i/>
                <w:b/>
                <w:szCs w:val="24"/>
                <w:iCs/>
                <w:rFonts w:ascii="Calibri Light" w:hAnsi="Calibri Light" w:eastAsia="" w:cs="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/>
              <w:outlineLvl w:val="3"/>
              <w:rPr>
                <w:sz w:val="24"/>
                <w:i/>
                <w:b/>
                <w:sz w:val="24"/>
                <w:i/>
                <w:b/>
                <w:szCs w:val="24"/>
                <w:iCs/>
                <w:rFonts w:ascii="Calibri Light" w:hAnsi="Calibri Light" w:eastAsia="" w:cs="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/>
              <w:outlineLvl w:val="3"/>
              <w:rPr>
                <w:sz w:val="28"/>
                <w:i w:val="false"/>
                <w:sz w:val="28"/>
                <w:i w:val="false"/>
                <w:szCs w:val="28"/>
                <w:rFonts w:ascii="Times New Roman" w:hAnsi="Times New Roman" w:eastAsia="Times New Roman" w:cs="Times New Roman"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i w:val="false"/>
                <w:color w:val="000000" w:themeColor="text1"/>
                <w:sz w:val="28"/>
                <w:szCs w:val="28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  <w:t>ARTS PLASTIQUES</w:t>
            </w:r>
            <w:r/>
          </w:p>
        </w:tc>
        <w:tc>
          <w:tcPr>
            <w:tcW w:w="637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travaux pratiques, grand format de 96 pages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 xml:space="preserve">Le cahier de l’année dernière peut être réutilisé.         </w:t>
              <w:br/>
            </w:r>
            <w:r>
              <w:rPr>
                <w:rFonts w:eastAsia="Times New Roman" w:cs="Times New Roman" w:ascii="Times New Roman" w:hAnsi="Times New Roman"/>
              </w:rPr>
              <w:t>1 pochette de papier Canson,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Canson, format A3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couleur,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pot de colle à bois prise rapide 200 grammes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(Marques : agobois ou sader)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pinceaux (petit moyen et gros)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boîte de crayons de couleurs aquarellables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paquet de feutres de couleurs et 2 feutres noirs.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906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i/>
                <w:i/>
              </w:rPr>
            </w:pPr>
            <w:r>
              <w:rPr>
                <w:rFonts w:eastAsia="Times New Roman" w:cs="Times New Roman" w:ascii="Times New Roman" w:hAnsi="Times New Roman"/>
                <w:i/>
                <w:u w:val="single"/>
              </w:rPr>
              <w:t>Observations</w:t>
            </w:r>
            <w:r>
              <w:rPr>
                <w:rFonts w:eastAsia="Times New Roman" w:cs="Times New Roman" w:ascii="Times New Roman" w:hAnsi="Times New Roman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</w:rPr>
              <w:t>: Invitation à visiter pendant les vacances les institutions artistiques et culturelles (galeries, musées, expositions…etc.)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</w:tbl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ATTENTION : Compas et ciseaux sont interdits par le règlement intérieur.  Pour les activités pédagogiques encadrées par les professeurs, ils sont fournis par l’établissement.</w:t>
      </w:r>
      <w:r/>
    </w:p>
    <w:p>
      <w:pPr>
        <w:pStyle w:val="Normal"/>
        <w:rPr>
          <w:sz w:val="28"/>
          <w:i/>
          <w:u w:val="single"/>
          <w:b/>
          <w:sz w:val="28"/>
          <w:i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</w:r>
      <w:r/>
    </w:p>
    <w:p>
      <w:pPr>
        <w:pStyle w:val="Normal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Nous lançons à la rentrée 2019 une expérimentation afin d’éliminer les cahiers dans certaines disciplines avec pour objectif de diminuer sensiblement le poids des cartables et de rendre les élèves plus autonomes et responsables.</w:t>
      </w:r>
      <w:r/>
    </w:p>
    <w:p>
      <w:pPr>
        <w:pStyle w:val="Normal"/>
        <w:tabs>
          <w:tab w:val="left" w:pos="8295" w:leader="none"/>
        </w:tabs>
        <w:rPr>
          <w:sz w:val="24"/>
          <w:sz w:val="24"/>
          <w:szCs w:val="24"/>
          <w:rFonts w:ascii="Century Gothic" w:hAnsi="Century Gothic" w:eastAsia="Century Gothic" w:cs="Century Gothic"/>
          <w:lang w:eastAsia="fr-FR"/>
        </w:rPr>
      </w:pPr>
      <w:r>
        <w:rPr/>
      </w:r>
      <w:r/>
    </w:p>
    <w:sectPr>
      <w:footerReference w:type="default" r:id="rId2"/>
      <w:type w:val="nextPage"/>
      <w:pgSz w:w="11906" w:h="16838"/>
      <w:pgMar w:left="1417" w:right="1417" w:header="0" w:top="567" w:footer="708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</w:pPr>
    <w:r>
      <w:rPr/>
    </w:r>
    <w:r>
      <mc:AlternateContent>
        <mc:Choice Requires="wps">
          <w:drawing>
            <wp:inline distT="0" distB="0" distL="0" distR="0">
              <wp:extent cx="1390015" cy="440690"/>
              <wp:effectExtent l="0" t="0" r="0" b="0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015" cy="440690"/>
                      </a:xfrm>
                      <a:prstGeom prst="flowChartAlternateProcess"/>
                    </wps:spPr>
                    <wps:txbx>
                      <w:txbxContent>
                        <w:p>
                          <w:pPr>
                            <w:pStyle w:val="Pieddepage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page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/3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stroked="f" strokeweight="0pt" style="position:absolute;width:109.45pt;height:34.7pt;mso-wrap-distance-left:5.7pt;mso-wrap-distance-right:5.7pt;mso-wrap-distance-top:5.7pt;mso-wrap-distance-bottom:5.7pt;margin-top:-46.1pt;mso-position-vertical:top;mso-position-vertical-relative:text;margin-left:0pt;mso-position-horizontal:center;mso-position-horizontal-relative:text">
              <v:textbox>
                <w:txbxContent>
                  <w:p>
                    <w:pPr>
                      <w:pStyle w:val="Pieddepage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t>page</w:t>
                    </w: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/3</w:t>
                    </w:r>
                  </w:p>
                </w:txbxContent>
              </v:textbox>
              <w10:wrap type="square"/>
            </v:rect>
          </w:pict>
        </mc:Fallback>
      </mc:AlternateContent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4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77238e"/>
    <w:pPr>
      <w:widowControl/>
      <w:suppressAutoHyphens w:val="true"/>
      <w:bidi w:val="0"/>
      <w:spacing w:lineRule="auto" w:line="240"/>
      <w:jc w:val="left"/>
    </w:pPr>
    <w:rPr>
      <w:rFonts w:ascii="Century Gothic" w:hAnsi="Century Gothic" w:eastAsia="Century Gothic" w:cs="Century Gothic"/>
      <w:color w:val="auto"/>
      <w:sz w:val="24"/>
      <w:szCs w:val="24"/>
      <w:lang w:eastAsia="fr-FR" w:val="fr-FR" w:bidi="ar-SA"/>
    </w:rPr>
  </w:style>
  <w:style w:type="paragraph" w:styleId="Titre2">
    <w:name w:val="Titre 2"/>
    <w:basedOn w:val="Normal"/>
    <w:next w:val="Normal"/>
    <w:link w:val="Titre2Car"/>
    <w:rsid w:val="00ce47ee"/>
    <w:pPr>
      <w:keepNext/>
      <w:tabs>
        <w:tab w:val="left" w:pos="1418" w:leader="none"/>
      </w:tabs>
      <w:outlineLvl w:val="1"/>
    </w:pPr>
    <w:rPr>
      <w:rFonts w:ascii="Times New Roman" w:hAnsi="Times New Roman" w:eastAsia="Times New Roman" w:cs="Times New Roman"/>
      <w:b/>
      <w:i/>
      <w:u w:val="single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ce47ee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rsid w:val="00ce47ee"/>
    <w:rPr>
      <w:rFonts w:ascii="Times New Roman" w:hAnsi="Times New Roman" w:eastAsia="Times New Roman" w:cs="Times New Roman"/>
      <w:b/>
      <w:i/>
      <w:sz w:val="24"/>
      <w:szCs w:val="24"/>
      <w:u w:val="single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semiHidden/>
    <w:rsid w:val="00ce47e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d55af8"/>
    <w:rPr>
      <w:rFonts w:ascii="Segoe UI" w:hAnsi="Segoe UI" w:eastAsia="Century Gothic" w:cs="Segoe UI"/>
      <w:sz w:val="18"/>
      <w:szCs w:val="18"/>
      <w:lang w:eastAsia="fr-FR"/>
    </w:rPr>
  </w:style>
  <w:style w:type="character" w:styleId="EntteCar" w:customStyle="1">
    <w:name w:val="En-tête Car"/>
    <w:basedOn w:val="DefaultParagraphFont"/>
    <w:uiPriority w:val="99"/>
    <w:rsid w:val="00072cd7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rsid w:val="00072cd7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ListLabel1" w:customStyle="1">
    <w:name w:val="ListLabel 1"/>
    <w:rPr>
      <w:rFonts w:eastAsia="Noto Sans Symbols" w:cs="Noto Sans Symbols"/>
    </w:rPr>
  </w:style>
  <w:style w:type="character" w:styleId="ListLabel2" w:customStyle="1">
    <w:name w:val="ListLabel 2"/>
    <w:rPr>
      <w:rFonts w:cs="Courier New"/>
    </w:rPr>
  </w:style>
  <w:style w:type="character" w:styleId="ListLabel3" w:customStyle="1">
    <w:name w:val="ListLabel 3"/>
    <w:rPr>
      <w:b w:val="false"/>
    </w:rPr>
  </w:style>
  <w:style w:type="character" w:styleId="ListLabel4" w:customStyle="1">
    <w:name w:val="ListLabel 4"/>
    <w:rPr>
      <w:position w:val="0"/>
      <w:sz w:val="24"/>
      <w:sz w:val="24"/>
      <w:szCs w:val="24"/>
      <w:vertAlign w:val="baseline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Courier New"/>
    </w:rPr>
  </w:style>
  <w:style w:type="character" w:styleId="ListLabel7">
    <w:name w:val="ListLabel 7"/>
    <w:rPr>
      <w:rFonts w:cs="Wingdings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Titreprincipal">
    <w:name w:val="Titre principal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7b6827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d55af8"/>
    <w:pPr/>
    <w:rPr>
      <w:rFonts w:ascii="Segoe UI" w:hAnsi="Segoe UI" w:cs="Segoe UI"/>
      <w:sz w:val="18"/>
      <w:szCs w:val="18"/>
    </w:rPr>
  </w:style>
  <w:style w:type="paragraph" w:styleId="Entte">
    <w:name w:val="En-tête"/>
    <w:basedOn w:val="Normal"/>
    <w:uiPriority w:val="99"/>
    <w:unhideWhenUsed/>
    <w:rsid w:val="00072cd7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072cd7"/>
    <w:pPr>
      <w:tabs>
        <w:tab w:val="center" w:pos="4536" w:leader="none"/>
        <w:tab w:val="right" w:pos="9072" w:leader="none"/>
      </w:tabs>
    </w:pPr>
    <w:rPr/>
  </w:style>
  <w:style w:type="paragraph" w:styleId="Contenudecadre" w:customStyle="1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238e"/>
    <w:pPr>
      <w:spacing w:lineRule="auto" w:line="24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324C2-7FFB-4527-B520-C8A52803A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LibreOffice/4.3.3.2$Windows_x86 LibreOffice_project/9bb7eadab57b6755b1265afa86e04bf45fbfc644</Application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2019-07-03T11:50:00Z</dcterms:created>
  <dc:creator>GESTION</dc:creator>
  <dc:language>fr-FR</dc:language>
  <cp:lastModifiedBy>COLL CARBET</cp:lastModifiedBy>
  <cp:lastPrinted>2019-07-01T16:40:00Z</cp:lastPrinted>
  <dcterms:modified xsi:type="dcterms:W3CDTF">2019-07-03T12:02:00Z</dcterms:modified>
  <cp:revision>3</cp:revision>
</cp:coreProperties>
</file>