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41" w:rightFromText="141" w:vertAnchor="text" w:horzAnchor="margin" w:tblpXSpec="center" w:tblpY="-15"/>
        <w:tblW w:w="15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5277"/>
        <w:gridCol w:w="3325"/>
        <w:gridCol w:w="831"/>
        <w:gridCol w:w="832"/>
        <w:gridCol w:w="832"/>
        <w:gridCol w:w="832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037" w:type="dxa"/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  <w:t>Établissement</w:t>
            </w:r>
          </w:p>
        </w:tc>
        <w:tc>
          <w:tcPr>
            <w:tcW w:w="5277" w:type="dxa"/>
            <w:vMerge w:val="restart"/>
            <w:shd w:val="clear" w:color="auto" w:fill="E2EFD9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>LP TRINITE</w:t>
            </w:r>
          </w:p>
        </w:tc>
        <w:tc>
          <w:tcPr>
            <w:tcW w:w="3325" w:type="dxa"/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  <w:t>CHAMP D’APPRENTISSAGE N°</w:t>
            </w:r>
          </w:p>
        </w:tc>
        <w:tc>
          <w:tcPr>
            <w:tcW w:w="83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3037" w:type="dxa"/>
            <w:vMerge w:val="continue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5277" w:type="dxa"/>
            <w:vMerge w:val="continue"/>
            <w:shd w:val="clear" w:color="auto" w:fill="E2EFD9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325" w:type="dxa"/>
            <w:vMerge w:val="continue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color="auto" w:sz="4" w:space="0"/>
            </w:tcBorders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fr-FR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fr-FR"/>
              </w:rPr>
              <w:t>X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03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8"/>
                <w:szCs w:val="28"/>
              </w:rPr>
              <w:t xml:space="preserve">APSA </w:t>
            </w:r>
          </w:p>
        </w:tc>
        <w:tc>
          <w:tcPr>
            <w:tcW w:w="5277" w:type="dxa"/>
            <w:shd w:val="clear" w:color="auto" w:fill="E2EF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val="fr-FR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fr-FR"/>
              </w:rPr>
              <w:t>HANDBALL</w:t>
            </w:r>
          </w:p>
        </w:tc>
        <w:tc>
          <w:tcPr>
            <w:tcW w:w="7484" w:type="dxa"/>
            <w:gridSpan w:val="6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fr-FR"/>
              </w:rPr>
              <w:t>Conduire un affrontement interindividuel ou collectif pour gagner</w:t>
            </w:r>
          </w:p>
        </w:tc>
      </w:tr>
    </w:tbl>
    <w:p>
      <w:pPr>
        <w:rPr>
          <w:rFonts w:hint="default" w:ascii="Times New Roman" w:hAnsi="Times New Roman" w:eastAsia="Calibri" w:cs="Times New Roman"/>
          <w:b/>
          <w:sz w:val="28"/>
          <w:szCs w:val="28"/>
          <w:bdr w:val="single" w:color="auto" w:sz="4" w:space="0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-445770</wp:posOffset>
                </wp:positionV>
                <wp:extent cx="3364865" cy="323850"/>
                <wp:effectExtent l="11430" t="7620" r="5080" b="1143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323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 BAC PRO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6" o:spt="202" type="#_x0000_t202" style="position:absolute;left:0pt;margin-left:158.55pt;margin-top:-35.1pt;height:25.5pt;width:264.95pt;z-index:251659264;mso-width-relative:page;mso-height-relative:page;" fillcolor="#BDD7EE" filled="t" stroked="t" coordsize="21600,21600" o:gfxdata="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aebk7YAAAACwEAAA8A&#10;AAAAAAAAAQAgAAAAIgAAAGRycy9kb3ducmV2LnhtbFBLAQIUABQAAAAIAIdO4kDhMCXVUAIAAMQE&#10;AAAOAAAAAAAAAAEAIAAAACcBAABkcnMvZTJvRG9jLnhtbFBLBQYAAAAABgAGAFkBAADp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RÉFÉRENTIEL BAC PRO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>
                        <w:rPr>
                          <w:rFonts w:hint="default"/>
                          <w:b/>
                          <w:bCs/>
                          <w:color w:val="FF0000"/>
                          <w:sz w:val="24"/>
                          <w:szCs w:val="24"/>
                          <w:lang w:val="fr-FR"/>
                        </w:rP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5387" w:type="dxa"/>
            <w:shd w:val="clear" w:color="auto" w:fill="D9D9D9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u w:val="single"/>
              </w:rPr>
              <w:t>AFLP déclinés dans l’APSA choisie :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-AFLP 1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 :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Réaliser des choix tactiques et stratégiques pour faire basculer le rapport de force en sa faveur et marquer le point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-AFLP 2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Mobiliser des techniques d’attaque efficaces pour se créer et exploiter des occasions de marque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7030A1"/>
                <w:sz w:val="28"/>
                <w:szCs w:val="28"/>
              </w:rPr>
              <w:t xml:space="preserve">r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; Résister et neutraliser individuellement ou collectivement l’attaque adverse pour rééquilibrer le rapport de force.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 AFLP 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4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Respecter et faire respecter les règles partagées pour que le jeu puisse se dérouler sereinement ; assumer plusieurs rôles sociaux pour permettre le bon déroulement du jeu.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-AFLP </w:t>
            </w:r>
            <w:r>
              <w:rPr>
                <w:rFonts w:hint="default" w:ascii="Times New Roman" w:hAnsi="Times New Roman" w:eastAsia="Calibri" w:cs="Times New Roman"/>
                <w:b/>
                <w:bCs/>
                <w:i/>
                <w:iCs/>
                <w:color w:val="000000"/>
                <w:sz w:val="28"/>
                <w:szCs w:val="28"/>
                <w:lang w:val="fr-FR"/>
              </w:rPr>
              <w:t>5</w:t>
            </w: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Savoir se préparer, s’entra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fr-FR"/>
              </w:rPr>
              <w:t>î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ner et récupérer pour faire preuve d’autonomie.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8"/>
                <w:szCs w:val="28"/>
                <w:u w:val="single"/>
              </w:rPr>
              <w:t>Principes d’élaboration de l’épreuve :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                      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Match 6 contre 6 (5 joueurs de champ et un gardien) sur le terrain, opposant des équipes dont le rapport de force est équilibré.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Rencontres de 8 minutes. Au cours des phases de jeu, des temps de concertation sont prévus afin de permettre aux joueurs d’une même équipe d’ajuster leurs organisations collectives en fonction du jeu adverse.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Les règles sont celles du handball.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Évaluation AFLP 1 et 2     en fin de séquence                   / 12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Évaluation AFLP 4 et 5    en cours de séquence</w:t>
            </w:r>
            <w:sdt>
              <w:sdtPr>
                <w:rPr>
                  <w:rFonts w:hint="default" w:ascii="Times New Roman" w:hAnsi="Times New Roman" w:cs="Times New Roman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919562297"/>
              </w:sdtPr>
              <w:sdtEndPr>
                <w:rPr>
                  <w:rFonts w:hint="default" w:ascii="Times New Roman" w:hAnsi="Times New Roman" w:cs="Times New Roman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/>
            </w:sdt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              / 8    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hint="default" w:ascii="Times New Roman" w:hAnsi="Times New Roman" w:eastAsia="Calibri" w:cs="Times New Roman"/>
                  <w:color w:val="000000"/>
                  <w:sz w:val="28"/>
                  <w:szCs w:val="28"/>
                </w:rPr>
                <w:id w:val="-919562297"/>
                <w:showingPlcHdr/>
              </w:sdtPr>
              <w:sdtEndPr>
                <w:rPr>
                  <w:rFonts w:hint="default" w:ascii="Times New Roman" w:hAnsi="Times New Roman" w:eastAsia="Calibri" w:cs="Times New Roman"/>
                  <w:color w:val="000000"/>
                  <w:sz w:val="28"/>
                  <w:szCs w:val="28"/>
                </w:rPr>
              </w:sdtEndPr>
              <w:sdtContent/>
            </w:sdt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</w:rPr>
      </w:pPr>
    </w:p>
    <w:p>
      <w:pPr>
        <w:spacing w:after="0" w:line="240" w:lineRule="auto"/>
        <w:rPr>
          <w:rFonts w:ascii="Calibri" w:hAnsi="Calibri" w:eastAsia="Calibri" w:cs="Calibri"/>
          <w:color w:val="000000"/>
        </w:rPr>
      </w:pPr>
      <w:bookmarkStart w:id="0" w:name="_GoBack"/>
      <w:bookmarkEnd w:id="0"/>
    </w:p>
    <w:p>
      <w:pPr>
        <w:spacing w:after="0" w:line="240" w:lineRule="auto"/>
        <w:rPr>
          <w:rFonts w:ascii="Calibri" w:hAnsi="Calibri" w:eastAsia="Calibri" w:cs="Calibri"/>
          <w:color w:val="000000"/>
        </w:rPr>
      </w:pPr>
    </w:p>
    <w:tbl>
      <w:tblPr>
        <w:tblStyle w:val="5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2"/>
        <w:gridCol w:w="2551"/>
        <w:gridCol w:w="258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</w:rPr>
              <w:t>Éléments à évaluer</w:t>
            </w:r>
          </w:p>
        </w:tc>
        <w:tc>
          <w:tcPr>
            <w:tcW w:w="10490" w:type="dxa"/>
            <w:gridSpan w:val="4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Repères d’évaluation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D9D9D9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AFLP 1 : /7 pts</w:t>
            </w: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1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2</w:t>
            </w:r>
          </w:p>
        </w:tc>
        <w:tc>
          <w:tcPr>
            <w:tcW w:w="258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3</w:t>
            </w:r>
          </w:p>
        </w:tc>
        <w:tc>
          <w:tcPr>
            <w:tcW w:w="2800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5245" w:type="dxa"/>
            <w:shd w:val="clear" w:color="auto" w:fill="F1F1F1" w:themeFill="background1" w:themeFillShade="F2"/>
          </w:tcPr>
          <w:p>
            <w:pPr>
              <w:tabs>
                <w:tab w:val="left" w:pos="4221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>Éléments à évaluer de l’AFLP 1 :</w:t>
            </w:r>
          </w:p>
          <w:p>
            <w:pPr>
              <w:tabs>
                <w:tab w:val="left" w:pos="4221"/>
              </w:tabs>
              <w:spacing w:after="0" w:line="240" w:lineRule="auto"/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Réaliser des choix tactiques et stratégiques pour faire basculer le rapport de force en sa faveur et marquer le point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HB :</w:t>
            </w:r>
          </w:p>
          <w:p>
            <w:pPr>
              <w:tabs>
                <w:tab w:val="left" w:pos="4221"/>
              </w:tabs>
              <w:spacing w:after="0" w:line="240" w:lineRule="auto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S’engager et faire des choix collectivement pour gagner un match en jouant sur des situations de montées de balle ou la création, face à une défense, de situations favorables de marque articulant le collectif (équipe) pour marquer.</w:t>
            </w:r>
          </w:p>
          <w:p>
            <w:pPr>
              <w:tabs>
                <w:tab w:val="left" w:pos="4221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organisation offensive absente ou désordonnée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-n’identifie pas les situations favorables offensives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-pas de coopération, des exploits individuels, rythme monotone du jeu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-organisation offensive simple: l’accès à l’espace de marque est fondé essentiellement sur l’action individuelle et sur la contre-attaque. Mais difficultés si équipe adv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erse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repliée.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-Début d’un jeu à 2 dans le couloir central</w:t>
            </w:r>
          </w:p>
        </w:tc>
        <w:tc>
          <w:tcPr>
            <w:tcW w:w="258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organisation offensive basée sur le jeu rapide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Début du jeu placé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Contre-attaque est une arme d’efficacité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Début d’utilisation des couloirs latéraux et exploitation du jeu en profondeur</w:t>
            </w:r>
          </w:p>
        </w:tc>
        <w:tc>
          <w:tcPr>
            <w:tcW w:w="2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organisation offensive qui se caractérise par l’utilisation opportune et volontaire d’un jeu rapide organisé en fonction du rapport de force existant.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Organisation offensive capable de passer d’un jeu rapide à un jeu de transition en fonction du repli adverse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245" w:type="dxa"/>
            <w:shd w:val="clear" w:color="auto" w:fill="F1F1F1" w:themeFill="background1" w:themeFillShade="F2"/>
          </w:tcPr>
          <w:p>
            <w:pPr>
              <w:tabs>
                <w:tab w:val="left" w:pos="4221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Gain des matchs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Après avoir déterminé son degré d’acquisition, la proportion des oppositions gagnées permet de positionner l’élève au sein même du degré d’acquisition choisi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224155</wp:posOffset>
                      </wp:positionV>
                      <wp:extent cx="1434465" cy="128905"/>
                      <wp:effectExtent l="0" t="31115" r="13335" b="49530"/>
                      <wp:wrapNone/>
                      <wp:docPr id="4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4465" cy="128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o:spt="32" type="#_x0000_t32" style="position:absolute;left:0pt;flip:y;margin-left:0pt;margin-top:17.65pt;height:10.15pt;width:112.95pt;z-index:251660288;mso-width-relative:page;mso-height-relative:page;" filled="f" stroked="t" coordsize="21600,21600" o:gfxdata="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/bmQbXAAAABgEAAA8AAAAAAAAAAQAgAAAA&#10;IgAAAGRycy9kb3ducmV2LnhtbFBLAQIUABQAAAAIAIdO4kC2NaruDAIAABYEAAAOAAAAAAAAAAEA&#10;IAAAACYBAABkcnMvZTJvRG9jLnhtbFBLBQYAAAAABgAGAFkBAACkBQAAAAA=&#10;">
                      <v:fill on="f" focussize="0,0"/>
                      <v:stroke weight="1pt" color="#002060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233680</wp:posOffset>
                      </wp:positionV>
                      <wp:extent cx="1434465" cy="128905"/>
                      <wp:effectExtent l="0" t="31115" r="13335" b="49530"/>
                      <wp:wrapNone/>
                      <wp:docPr id="6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4465" cy="128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o:spt="32" type="#_x0000_t32" style="position:absolute;left:0pt;flip:y;margin-left:1.4pt;margin-top:18.4pt;height:10.15pt;width:112.95pt;z-index:251661312;mso-width-relative:page;mso-height-relative:page;" filled="f" stroked="t" coordsize="21600,21600" o:gfxdata="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26E3XAAAABwEAAA8AAAAAAAAAAQAgAAAA&#10;IgAAAGRycy9kb3ducmV2LnhtbFBLAQIUABQAAAAIAIdO4kCDDfd3DAIAABYEAAAOAAAAAAAAAAEA&#10;IAAAACYBAABkcnMvZTJvRG9jLnhtbFBLBQYAAAAABgAGAFkBAACkBQAAAAA=&#10;">
                      <v:fill on="f" focussize="0,0"/>
                      <v:stroke weight="1pt" color="#002060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281305</wp:posOffset>
                      </wp:positionV>
                      <wp:extent cx="1434465" cy="128905"/>
                      <wp:effectExtent l="0" t="31115" r="13335" b="49530"/>
                      <wp:wrapNone/>
                      <wp:docPr id="7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4465" cy="128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o:spt="32" type="#_x0000_t32" style="position:absolute;left:0pt;flip:y;margin-left:1.35pt;margin-top:22.15pt;height:10.15pt;width:112.95pt;z-index:251662336;mso-width-relative:page;mso-height-relative:page;" filled="f" stroked="t" coordsize="21600,21600" o:gfxdata="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WajDnWAAAABwEAAA8AAAAAAAAAAQAgAAAA&#10;IgAAAGRycy9kb3ducmV2LnhtbFBLAQIUABQAAAAIAIdO4kC5EuHWDQIAABYEAAAOAAAAAAAAAAEA&#10;IAAAACUBAABkcnMvZTJvRG9jLnhtbFBLBQYAAAAABgAGAFkBAACkBQAAAAA=&#10;">
                      <v:fill on="f" focussize="0,0"/>
                      <v:stroke weight="1pt" color="#002060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800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252730</wp:posOffset>
                      </wp:positionV>
                      <wp:extent cx="1434465" cy="128905"/>
                      <wp:effectExtent l="0" t="31115" r="13335" b="49530"/>
                      <wp:wrapNone/>
                      <wp:docPr id="8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4465" cy="128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o:spt="32" type="#_x0000_t32" style="position:absolute;left:0pt;flip:y;margin-left:7pt;margin-top:19.9pt;height:10.15pt;width:112.95pt;z-index:251663360;mso-width-relative:page;mso-height-relative:page;" filled="f" stroked="t" coordsize="21600,21600" o:gfxdata="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gTKe9cAAAAIAQAADwAAAAAAAAABACAAAAAi&#10;AAAAZHJzL2Rvd25yZXYueG1sUEsBAhQAFAAAAAgAh07iQIqphg8LAgAAFgQAAA4AAAAAAAAAAQAg&#10;AAAAJgEAAGRycy9lMm9Eb2MueG1sUEsFBgAAAAAGAAYAWQEAAKMFAAAAAA==&#10;">
                      <v:fill on="f" focussize="0,0"/>
                      <v:stroke weight="1pt" color="#002060 [3204]" miterlimit="8" joinstyle="miter" startarrow="block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  <w:t>Répartition équilibrée des 7 points entre les degrés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  <w:t>De 0 à 1 pt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  <w:t>De 1.5  à 3 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  <w:t>De 3.5  à 5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/>
                <w:color w:val="000000"/>
                <w:sz w:val="24"/>
                <w:szCs w:val="24"/>
              </w:rPr>
              <w:t>De 5.5  à 7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AFLP 2 : /5 pts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1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2</w:t>
            </w:r>
          </w:p>
        </w:tc>
        <w:tc>
          <w:tcPr>
            <w:tcW w:w="25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3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524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>Éléments à évaluer de l’AFLP 2 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Mobiliser des techniques d’attaque efficaces pour se créer et exploiter des occasions de marque</w:t>
            </w:r>
            <w:r>
              <w:rPr>
                <w:rFonts w:hint="default" w:ascii="Times New Roman" w:hAnsi="Times New Roman" w:cs="Times New Roman"/>
                <w:b/>
                <w:color w:val="7030A1"/>
                <w:sz w:val="24"/>
                <w:szCs w:val="24"/>
              </w:rPr>
              <w:t xml:space="preserve">r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; Résister et neutraliser individuellement ou collectivement l’attaque adverse pour rééquilibrer le rapport de force.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Actions principalement individuelles réalisées indépendamment des placements et déplacements des partenaires. Choix peu pertinents.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 xml:space="preserve">Att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: exploits individuels ou passivité du joueur dans le collectif. Tir peu efficace.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Déf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l’interception est l’action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défensive privilégiée. Sa réussite, peu fréquente, est surtout liée à une erreur de l’adversaire.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Relations simples avec le partenaire proche. Joueur efficace dans son registre préférentiel mais hésitant dans les choix ce qui ralentit le jeu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Att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jeu en appui et en passe et va. Exploite les occasions de marque mais réussite aléatoire au tir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Déf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des actions de harcèlement et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d’interception en défense.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Régulièrement dominé par son adv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fr-FR"/>
                <w14:textFill>
                  <w14:solidFill>
                    <w14:schemeClr w14:val="tx1"/>
                  </w14:solidFill>
                </w14:textFill>
              </w:rPr>
              <w:t>ersaire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</w:rPr>
            </w:pPr>
          </w:p>
        </w:tc>
        <w:tc>
          <w:tcPr>
            <w:tcW w:w="2587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Actions coordonnées à 2 ou 3 joueurs. Joueur efficace dans plusieurs registres. Assure la continuité du jeu de l’équipe.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Att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se coordonne avec les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partenaires pour créer et exploiter les occasions de marque. Se démarque efficacement. En réussite au tir.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Def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actions articulées (harcélement,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fr-FR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issuasion, interception) pour ralentir ou mettre en échec le vis-à-vis.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Actions coordonnées et choix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pertinents permettant d’exploiter,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selon le rapport de force, la largeur et la profondeur du terrain.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Att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joueur ressource capable de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fr-FR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ixer et décaler. Efficace au tir même dans des situations peu favorables, il régule le jeu de l’équipe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Def :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capable d’organiser la défense et d’entraider, il met régulièrement en échec l’attaque adverse.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  <w:t>Répartition équilibrée des 5 points entre les degrés</w:t>
            </w:r>
          </w:p>
        </w:tc>
        <w:tc>
          <w:tcPr>
            <w:tcW w:w="25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  <w:t>De 0 à 0.5 pt</w:t>
            </w:r>
          </w:p>
        </w:tc>
        <w:tc>
          <w:tcPr>
            <w:tcW w:w="255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  <w:t>De 1 à 2 pts</w:t>
            </w:r>
          </w:p>
        </w:tc>
        <w:tc>
          <w:tcPr>
            <w:tcW w:w="258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  <w:t>De 2.5 à 4 pts</w:t>
            </w:r>
          </w:p>
        </w:tc>
        <w:tc>
          <w:tcPr>
            <w:tcW w:w="280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i/>
                <w:color w:val="000000"/>
                <w:sz w:val="24"/>
                <w:szCs w:val="24"/>
              </w:rPr>
              <w:t>De 4.5 à 5 pts</w:t>
            </w:r>
          </w:p>
        </w:tc>
      </w:tr>
    </w:tbl>
    <w:p>
      <w:pPr>
        <w:spacing w:after="0" w:line="240" w:lineRule="auto"/>
        <w:rPr>
          <w:rFonts w:ascii="Calibri" w:hAnsi="Calibri" w:eastAsia="Calibri" w:cs="Calibri"/>
        </w:rPr>
      </w:pPr>
    </w:p>
    <w:p>
      <w:pPr>
        <w:spacing w:after="0" w:line="240" w:lineRule="auto"/>
        <w:rPr>
          <w:rFonts w:ascii="Calibri" w:hAnsi="Calibri" w:eastAsia="Calibri" w:cs="Calibri"/>
        </w:rPr>
      </w:pPr>
    </w:p>
    <w:tbl>
      <w:tblPr>
        <w:tblStyle w:val="5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1"/>
        <w:gridCol w:w="2552"/>
        <w:gridCol w:w="255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D9D9D9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AFLP </w:t>
            </w: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  <w:lang w:val="fr-FR"/>
              </w:rPr>
              <w:t>4</w:t>
            </w: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 :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1</w:t>
            </w: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2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3</w:t>
            </w:r>
          </w:p>
        </w:tc>
        <w:tc>
          <w:tcPr>
            <w:tcW w:w="2836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524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 xml:space="preserve">Éléments à évaluer de l’AFLP </w:t>
            </w: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  <w:lang w:val="fr-FR"/>
              </w:rPr>
              <w:t>4</w:t>
            </w: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 xml:space="preserve"> : 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Respecter et faire respecter les règles partagées pour que le jeu puisse se dérouler sereinement ; assumer plusieurs rôles sociaux pour permettre le bon déroulement du jeu.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Abandonne lorsque le score se creuse en sa défaveur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A une attitude irrespectueuse face à son adversaire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Intègre difficilement les règles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 s’implique pas dans les rôles sociaux mis en place dans les leçons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Se décourage lorsque le score se creuse en sa défaveur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Contrôle mal ses émotions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Met en œuvre partiellement les règles retenues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S’implique de manière inconstante dans les rôles sociaux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S’engage jusqu’à la fin de la rencontre quelle que soit le score.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Accepte la victoire ou la défaite. Contrôle ses émotions lors de la rencontre.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Comprend et fait appliquer les règles principales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color w:val="000000" w:themeColor="text1"/>
                <w:sz w:val="24"/>
                <w:szCs w:val="24"/>
                <w:lang w:val="fr-FR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S’implique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régulièrement dans les rôles sociaux.</w:t>
            </w:r>
          </w:p>
        </w:tc>
        <w:tc>
          <w:tcPr>
            <w:tcW w:w="28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- Fait preuve de sang-froid et de persévérance tout au long de la rencontre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Gagne avec humilité et perd sans rancune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Respecte et fait respecter les règles et règlement retenus.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S’implique toujours dans les rôles sociaux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Cas n°1       6 points </w:t>
            </w:r>
            <w:sdt>
              <w:sdt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-494028642"/>
              </w:sdtPr>
              <w:sdtEnd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283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Cas n°2       4 points </w:t>
            </w:r>
            <w:sdt>
              <w:sdt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-306015133"/>
              </w:sdtPr>
              <w:sdtEnd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 0  à 1 pt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  à 2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 2 à 3  pts</w:t>
            </w:r>
          </w:p>
        </w:tc>
        <w:tc>
          <w:tcPr>
            <w:tcW w:w="283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Cas n°3       2 points </w:t>
            </w:r>
            <w:sdt>
              <w:sdt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id w:val="-299685823"/>
              </w:sdtPr>
              <w:sdtEndPr>
                <w:rPr>
                  <w:rFonts w:hint="default" w:ascii="Times New Roman" w:hAnsi="Times New Roman" w:cs="Times New Roman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color w:val="000000" w:themeColor="text1"/>
                    <w:sz w:val="24"/>
                    <w:szCs w:val="24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283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</w:tbl>
    <w:p>
      <w:pPr>
        <w:spacing w:after="0" w:line="240" w:lineRule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color w:val="000000"/>
          <w:sz w:val="24"/>
          <w:szCs w:val="24"/>
        </w:rPr>
      </w:pPr>
    </w:p>
    <w:tbl>
      <w:tblPr>
        <w:tblStyle w:val="5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2"/>
        <w:gridCol w:w="2551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D9D9D9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 xml:space="preserve">AFLP </w:t>
            </w: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  <w:lang w:val="fr-FR"/>
              </w:rPr>
              <w:t>5</w:t>
            </w:r>
            <w:r>
              <w:rPr>
                <w:rFonts w:hint="default" w:ascii="Times New Roman" w:hAnsi="Times New Roman" w:eastAsia="Calibri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  <w:t>Degré 1</w:t>
            </w:r>
          </w:p>
        </w:tc>
        <w:tc>
          <w:tcPr>
            <w:tcW w:w="255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  <w:t>Degré 2</w:t>
            </w: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  <w:t>Degré 3</w:t>
            </w:r>
          </w:p>
        </w:tc>
        <w:tc>
          <w:tcPr>
            <w:tcW w:w="2835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5245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 xml:space="preserve">Éléments à évaluer de l’AFLP </w:t>
            </w: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  <w:lang w:val="fr-FR"/>
              </w:rPr>
              <w:t>5</w:t>
            </w:r>
            <w:r>
              <w:rPr>
                <w:rFonts w:hint="default" w:ascii="Times New Roman" w:hAnsi="Times New Roman" w:eastAsia="Calibri" w:cs="Times New Roman"/>
                <w:color w:val="FF0000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Savoir se préparer, s’entra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 et récupérer pour faire preuve d’autonomie.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Echauffement non réalisé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Aucune ma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î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trise de la préparation d’avant match, et de la récupération post activité.</w:t>
            </w: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fr-F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Echauffement, préparation et récupération réalisés de manière inadaptée et partiellement.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Echauffement, préparation et récupération réalisés en respectant les différents critères de progressivité, d’effort, et d’intensité de la séquence.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Prise en charge de l’échauffement, de la préparation et de la récupération par l’élève de manière adaptée et autonome, élève ressource dans l’équipe.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Cas n°1       2 points </w:t>
            </w:r>
            <w:sdt>
              <w:sdtPr>
                <w:rPr>
                  <w:rFonts w:hint="default" w:ascii="Times New Roman" w:hAnsi="Times New Roman" w:cs="Times New Roman"/>
                  <w:sz w:val="24"/>
                  <w:szCs w:val="24"/>
                </w:rPr>
                <w:id w:val="611706856"/>
              </w:sdtPr>
              <w:sdtEndPr>
                <w:rPr>
                  <w:rFonts w:hint="default"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Cas n°2       4 points </w:t>
            </w:r>
            <w:sdt>
              <w:sdtPr>
                <w:rPr>
                  <w:rFonts w:hint="default" w:ascii="Times New Roman" w:hAnsi="Times New Roman" w:cs="Times New Roman"/>
                  <w:sz w:val="24"/>
                  <w:szCs w:val="24"/>
                </w:rPr>
                <w:id w:val="757103891"/>
              </w:sdtPr>
              <w:sdtEndPr>
                <w:rPr>
                  <w:rFonts w:hint="default"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 à 1 pt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 à 2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2 à 3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Cas n°3       6 points </w:t>
            </w:r>
            <w:sdt>
              <w:sdtPr>
                <w:rPr>
                  <w:rFonts w:hint="default" w:ascii="Times New Roman" w:hAnsi="Times New Roman" w:cs="Times New Roman"/>
                  <w:sz w:val="24"/>
                  <w:szCs w:val="24"/>
                </w:rPr>
                <w:id w:val="-1605265990"/>
              </w:sdtPr>
              <w:sdtEndPr>
                <w:rPr>
                  <w:rFonts w:hint="default"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default" w:ascii="Times New Roman" w:hAnsi="Times New Roman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</w:tbl>
    <w:p>
      <w:pPr>
        <w:ind w:left="720"/>
        <w:contextualSpacing/>
        <w:rPr>
          <w:rFonts w:ascii="Calibri" w:hAnsi="Calibri" w:eastAsia="Calibri" w:cs="Calibri"/>
          <w:i/>
        </w:rPr>
      </w:pPr>
    </w:p>
    <w:p/>
    <w:sectPr>
      <w:headerReference r:id="rId5" w:type="default"/>
      <w:pgSz w:w="16838" w:h="11906" w:orient="landscape"/>
      <w:pgMar w:top="340" w:right="567" w:bottom="340" w:left="567" w:header="567" w:footer="567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2"/>
    <w:rsid w:val="000822E2"/>
    <w:rsid w:val="001271B2"/>
    <w:rsid w:val="00405B32"/>
    <w:rsid w:val="00653F72"/>
    <w:rsid w:val="006E3635"/>
    <w:rsid w:val="0091430C"/>
    <w:rsid w:val="00C305FC"/>
    <w:rsid w:val="00CA1F9A"/>
    <w:rsid w:val="00D0510A"/>
    <w:rsid w:val="00D11ED5"/>
    <w:rsid w:val="00DD7C8B"/>
    <w:rsid w:val="0CE202BD"/>
    <w:rsid w:val="0F9E1A82"/>
    <w:rsid w:val="13444ABD"/>
    <w:rsid w:val="2CF159ED"/>
    <w:rsid w:val="567718FE"/>
    <w:rsid w:val="7A3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En-tête Car"/>
    <w:basedOn w:val="2"/>
    <w:link w:val="4"/>
    <w:uiPriority w:val="99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table" w:customStyle="1" w:styleId="8">
    <w:name w:val="Grille du tableau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1240</Words>
  <Characters>6821</Characters>
  <Lines>56</Lines>
  <Paragraphs>16</Paragraphs>
  <TotalTime>3</TotalTime>
  <ScaleCrop>false</ScaleCrop>
  <LinksUpToDate>false</LinksUpToDate>
  <CharactersWithSpaces>8045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2021-06-28T13:52:00Z</dcterms:created>
  <dc:creator>ronysay</dc:creator>
  <cp:lastModifiedBy>Georgette</cp:lastModifiedBy>
  <dcterms:modified xsi:type="dcterms:W3CDTF">2021-09-14T03:02:25Z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