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D" w:rsidRDefault="0074200B" w:rsidP="00E63481">
      <w:pPr>
        <w:pStyle w:val="Titre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44B305" wp14:editId="56949D35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10096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192" y="20903"/>
                <wp:lineTo x="2119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BD">
        <w:t>R</w:t>
      </w:r>
      <w:r w:rsidR="00D80A1B">
        <w:t>É</w:t>
      </w:r>
      <w:r w:rsidR="00F278BD">
        <w:t>GLEMENT DE L’ACTION ÉDUCATIVE</w:t>
      </w:r>
    </w:p>
    <w:p w:rsidR="0029577F" w:rsidRPr="00E63481" w:rsidRDefault="00D80A1B" w:rsidP="00E63481">
      <w:pPr>
        <w:pStyle w:val="Titre2"/>
        <w:jc w:val="center"/>
      </w:pPr>
      <w:r>
        <w:t>« L</w:t>
      </w:r>
      <w:r w:rsidR="008C1799" w:rsidRPr="00E63481">
        <w:t>ES</w:t>
      </w:r>
      <w:r w:rsidR="00A7030D">
        <w:t> </w:t>
      </w:r>
      <w:r w:rsidR="008C1799" w:rsidRPr="00E63481">
        <w:t>PETITS ARTISTES DE LA MÉMOIRE</w:t>
      </w:r>
      <w:r w:rsidR="00A7030D">
        <w:t> »</w:t>
      </w:r>
    </w:p>
    <w:p w:rsidR="00D80A1B" w:rsidRDefault="0074200B" w:rsidP="00E63481">
      <w:pPr>
        <w:pStyle w:val="Titre2"/>
        <w:jc w:val="center"/>
      </w:pPr>
      <w:r>
        <w:t xml:space="preserve">    </w:t>
      </w:r>
      <w:r w:rsidR="00E63481">
        <w:t>(</w:t>
      </w:r>
      <w:r w:rsidR="0020187E" w:rsidRPr="00E63481">
        <w:t>LA GRANDE GUERRE VUE PAR LES ENFANTS</w:t>
      </w:r>
      <w:r w:rsidR="00E63481">
        <w:t>)</w:t>
      </w:r>
      <w:r w:rsidR="00A7030D">
        <w:t xml:space="preserve"> </w:t>
      </w:r>
      <w:r w:rsidR="00DF1C3B">
        <w:t xml:space="preserve">     </w:t>
      </w:r>
    </w:p>
    <w:p w:rsidR="008C1799" w:rsidRPr="00E63481" w:rsidRDefault="000F2A5B" w:rsidP="000F2A5B">
      <w:pPr>
        <w:pStyle w:val="Titre2"/>
      </w:pPr>
      <w:r w:rsidRPr="000F2A5B">
        <w:rPr>
          <w:sz w:val="18"/>
          <w:szCs w:val="18"/>
        </w:rPr>
        <w:t>Mission maîtrise de la langue</w:t>
      </w:r>
      <w:r w:rsidR="0074200B">
        <w:t xml:space="preserve">                                    </w:t>
      </w:r>
      <w:r w:rsidR="00D80A1B">
        <w:t xml:space="preserve">ANNÉE SCOLAIRE : </w:t>
      </w:r>
      <w:r w:rsidR="00A7030D">
        <w:t>2013-2014</w:t>
      </w:r>
    </w:p>
    <w:p w:rsidR="001E4CED" w:rsidRDefault="001E4CED"/>
    <w:p w:rsidR="00D731DD" w:rsidRDefault="001E4CED" w:rsidP="00D731DD">
      <w:pPr>
        <w:jc w:val="both"/>
        <w:rPr>
          <w:i/>
        </w:rPr>
      </w:pPr>
      <w:r>
        <w:t xml:space="preserve">Dans le cadre de la </w:t>
      </w:r>
      <w:r w:rsidRPr="00E63481">
        <w:rPr>
          <w:b/>
        </w:rPr>
        <w:t>commémoration du Centenaire de la Première Guerre mondiale</w:t>
      </w:r>
      <w:r w:rsidRPr="00B66F10">
        <w:t>, l</w:t>
      </w:r>
      <w:r w:rsidR="00996BB1" w:rsidRPr="00B66F10">
        <w:t>es</w:t>
      </w:r>
      <w:r w:rsidRPr="00B66F10">
        <w:t xml:space="preserve"> Mission</w:t>
      </w:r>
      <w:r w:rsidR="00996BB1" w:rsidRPr="00B66F10">
        <w:t>s</w:t>
      </w:r>
      <w:r w:rsidRPr="00B66F10">
        <w:t xml:space="preserve"> maîtrise de la langue</w:t>
      </w:r>
      <w:r w:rsidR="00996BB1" w:rsidRPr="00B66F10">
        <w:t xml:space="preserve"> et arts du primaire </w:t>
      </w:r>
      <w:r w:rsidR="003D232F" w:rsidRPr="00B66F10">
        <w:t>ainsi que lettres et</w:t>
      </w:r>
      <w:r w:rsidR="00996BB1" w:rsidRPr="00B66F10">
        <w:t xml:space="preserve"> histoire du secondaire</w:t>
      </w:r>
      <w:r w:rsidR="003D232F" w:rsidRPr="00B66F10">
        <w:t xml:space="preserve"> </w:t>
      </w:r>
      <w:r>
        <w:t>propose</w:t>
      </w:r>
      <w:r w:rsidR="003D232F">
        <w:t>nt</w:t>
      </w:r>
      <w:r>
        <w:t xml:space="preserve"> un projet pluridisciplinaire langue/histoire-histoire des arts/musique/</w:t>
      </w:r>
      <w:proofErr w:type="spellStart"/>
      <w:r>
        <w:t>Tice</w:t>
      </w:r>
      <w:proofErr w:type="spellEnd"/>
      <w:r>
        <w:t xml:space="preserve"> pour l’année scolaire </w:t>
      </w:r>
      <w:r w:rsidR="00A7030D">
        <w:t>20</w:t>
      </w:r>
      <w:r>
        <w:t>13-</w:t>
      </w:r>
      <w:r w:rsidR="00A7030D">
        <w:t>20</w:t>
      </w:r>
      <w:r>
        <w:t>14. Ce projet</w:t>
      </w:r>
      <w:r w:rsidR="00726B9B">
        <w:t xml:space="preserve"> d’action nationale placé sous l’égide du MEN en partenariat avec l’ONACVG (Office national des anciens combattants et victimes de guerre)</w:t>
      </w:r>
      <w:r>
        <w:t xml:space="preserve"> intitulé « Les petits artistes de la mémoire » s’adresse aux élèves des écoles élémentaires et des classes de 6</w:t>
      </w:r>
      <w:r w:rsidRPr="001E4CED">
        <w:rPr>
          <w:vertAlign w:val="superscript"/>
        </w:rPr>
        <w:t>e</w:t>
      </w:r>
      <w:r>
        <w:t>.</w:t>
      </w:r>
      <w:r w:rsidR="00D731DD" w:rsidRPr="00F36586">
        <w:rPr>
          <w:i/>
        </w:rPr>
        <w:t xml:space="preserve"> </w:t>
      </w:r>
    </w:p>
    <w:p w:rsidR="0074200B" w:rsidRPr="00087320" w:rsidRDefault="0074200B" w:rsidP="0074200B">
      <w:pPr>
        <w:pStyle w:val="Paragraphedeliste"/>
        <w:numPr>
          <w:ilvl w:val="0"/>
          <w:numId w:val="1"/>
        </w:numPr>
        <w:jc w:val="both"/>
        <w:rPr>
          <w:u w:val="thick"/>
        </w:rPr>
      </w:pPr>
      <w:r w:rsidRPr="00087320">
        <w:rPr>
          <w:u w:val="thick"/>
        </w:rPr>
        <w:t>Objectif</w:t>
      </w:r>
      <w:r w:rsidR="00DF70A5">
        <w:rPr>
          <w:u w:val="thick"/>
        </w:rPr>
        <w:t>s</w:t>
      </w:r>
    </w:p>
    <w:p w:rsidR="001E4CED" w:rsidRDefault="001E4CED" w:rsidP="00A7030D">
      <w:pPr>
        <w:jc w:val="both"/>
      </w:pPr>
      <w:r>
        <w:t>Il s’agi</w:t>
      </w:r>
      <w:r w:rsidR="005E7D35">
        <w:t>t</w:t>
      </w:r>
      <w:r>
        <w:t>, par le biais de ce projet, de</w:t>
      </w:r>
      <w:r w:rsidRPr="001E4CED">
        <w:t xml:space="preserve"> transmettre aux plus jeunes la mémoire des combattants de la Grande Guerre et  plus largement,  </w:t>
      </w:r>
      <w:r>
        <w:t xml:space="preserve">de </w:t>
      </w:r>
      <w:r w:rsidRPr="001E4CED">
        <w:t>les sensibiliser à l’héritage contemporain de ce conflit européen et mondial.</w:t>
      </w:r>
      <w:r>
        <w:t xml:space="preserve"> </w:t>
      </w:r>
      <w:r w:rsidRPr="001E4CED">
        <w:t xml:space="preserve"> </w:t>
      </w:r>
      <w:r w:rsidR="00E63481">
        <w:t>L’</w:t>
      </w:r>
      <w:r>
        <w:t xml:space="preserve">appréhension </w:t>
      </w:r>
      <w:r w:rsidR="00E63481">
        <w:t xml:space="preserve"> du</w:t>
      </w:r>
      <w:r>
        <w:t xml:space="preserve"> conflit </w:t>
      </w:r>
      <w:r w:rsidR="00E63481">
        <w:t xml:space="preserve">s’exercera </w:t>
      </w:r>
      <w:r>
        <w:t xml:space="preserve">dans la </w:t>
      </w:r>
      <w:r w:rsidRPr="00E63481">
        <w:rPr>
          <w:b/>
        </w:rPr>
        <w:t>perspe</w:t>
      </w:r>
      <w:r w:rsidR="00E63481" w:rsidRPr="00E63481">
        <w:rPr>
          <w:b/>
        </w:rPr>
        <w:t>ctive d’une histoire régionale</w:t>
      </w:r>
      <w:r w:rsidR="00E63481">
        <w:t xml:space="preserve"> induite par l</w:t>
      </w:r>
      <w:r>
        <w:t>es contacts intergénérationnels</w:t>
      </w:r>
      <w:r w:rsidR="00E63481">
        <w:t xml:space="preserve"> établis</w:t>
      </w:r>
      <w:r>
        <w:t xml:space="preserve"> avec les </w:t>
      </w:r>
      <w:r w:rsidR="000F2A5B">
        <w:t xml:space="preserve">familles et les </w:t>
      </w:r>
      <w:r>
        <w:t>associations locales</w:t>
      </w:r>
      <w:r w:rsidR="00E63481">
        <w:t>.</w:t>
      </w:r>
    </w:p>
    <w:p w:rsidR="00E63481" w:rsidRPr="008D1660" w:rsidRDefault="00E63481" w:rsidP="00A7030D">
      <w:pPr>
        <w:jc w:val="both"/>
        <w:rPr>
          <w:b/>
        </w:rPr>
      </w:pPr>
      <w:r>
        <w:t>U</w:t>
      </w:r>
      <w:r w:rsidR="001E4CED">
        <w:t xml:space="preserve">n « </w:t>
      </w:r>
      <w:r w:rsidR="001E4CED" w:rsidRPr="00E63481">
        <w:rPr>
          <w:b/>
        </w:rPr>
        <w:t>carnet de guerre</w:t>
      </w:r>
      <w:r w:rsidR="001E4CED">
        <w:t xml:space="preserve"> »</w:t>
      </w:r>
      <w:r>
        <w:t>,</w:t>
      </w:r>
      <w:r w:rsidR="001E4CED">
        <w:t xml:space="preserve"> </w:t>
      </w:r>
      <w:r w:rsidR="00BA5DDC">
        <w:t>inspiré</w:t>
      </w:r>
      <w:r>
        <w:t xml:space="preserve"> </w:t>
      </w:r>
      <w:r w:rsidR="00DF1C3B" w:rsidRPr="00BA5DDC">
        <w:rPr>
          <w:b/>
        </w:rPr>
        <w:t>librement</w:t>
      </w:r>
      <w:r w:rsidR="00DF1C3B">
        <w:t xml:space="preserve"> </w:t>
      </w:r>
      <w:r w:rsidR="001E4CED">
        <w:t xml:space="preserve">du </w:t>
      </w:r>
      <w:r>
        <w:t>« </w:t>
      </w:r>
      <w:r w:rsidR="001E4CED" w:rsidRPr="00E63481">
        <w:rPr>
          <w:b/>
        </w:rPr>
        <w:t>Carnet de Poilu</w:t>
      </w:r>
      <w:r>
        <w:t> »</w:t>
      </w:r>
      <w:r w:rsidR="001E4CED">
        <w:t xml:space="preserve"> rédigé par l’artiste combattant </w:t>
      </w:r>
      <w:proofErr w:type="spellStart"/>
      <w:r w:rsidR="001E4CED" w:rsidRPr="00E63481">
        <w:rPr>
          <w:b/>
        </w:rPr>
        <w:t>Renefer</w:t>
      </w:r>
      <w:proofErr w:type="spellEnd"/>
      <w:r w:rsidR="001E4CED">
        <w:t xml:space="preserve"> sur le front, pour sa fille</w:t>
      </w:r>
      <w:r>
        <w:t xml:space="preserve">, formalisera la compréhension des faits restitués. Ce </w:t>
      </w:r>
      <w:r w:rsidRPr="008D1660">
        <w:rPr>
          <w:b/>
        </w:rPr>
        <w:t>carnet imaginaire</w:t>
      </w:r>
      <w:r w:rsidR="00DF1C3B">
        <w:t>,</w:t>
      </w:r>
      <w:r>
        <w:t xml:space="preserve"> </w:t>
      </w:r>
      <w:r w:rsidR="00DF1C3B" w:rsidRPr="008D1660">
        <w:rPr>
          <w:b/>
        </w:rPr>
        <w:t xml:space="preserve">retraçant l’histoire </w:t>
      </w:r>
      <w:r w:rsidRPr="008D1660">
        <w:rPr>
          <w:b/>
        </w:rPr>
        <w:t>d’un combattant de la Martinique</w:t>
      </w:r>
      <w:r w:rsidR="00DF1C3B" w:rsidRPr="008D1660">
        <w:rPr>
          <w:b/>
        </w:rPr>
        <w:t xml:space="preserve"> de 14-18 (un « Poilu »),</w:t>
      </w:r>
      <w:r w:rsidRPr="008D1660">
        <w:rPr>
          <w:b/>
        </w:rPr>
        <w:t xml:space="preserve"> sera illustré par des textes documentaires, poétiques…, des peintures, des  collages…</w:t>
      </w:r>
    </w:p>
    <w:p w:rsidR="00441928" w:rsidRPr="00441928" w:rsidRDefault="00D731DD" w:rsidP="00BA5DDC">
      <w:pPr>
        <w:jc w:val="both"/>
      </w:pPr>
      <w:r w:rsidRPr="00BA5DDC">
        <w:rPr>
          <w:b/>
        </w:rPr>
        <w:t>L</w:t>
      </w:r>
      <w:r w:rsidR="00BA5DDC" w:rsidRPr="00BA5DDC">
        <w:rPr>
          <w:b/>
        </w:rPr>
        <w:t>es classes</w:t>
      </w:r>
      <w:r w:rsidR="00441928" w:rsidRPr="00BA5DDC">
        <w:rPr>
          <w:b/>
        </w:rPr>
        <w:t xml:space="preserve"> choisissent un soldat de la Grande Guerre originaire de leur commune</w:t>
      </w:r>
      <w:r w:rsidR="00BA5DDC" w:rsidRPr="00BA5DDC">
        <w:rPr>
          <w:b/>
        </w:rPr>
        <w:t xml:space="preserve"> ou de leur </w:t>
      </w:r>
      <w:r w:rsidR="00BA5DDC">
        <w:rPr>
          <w:b/>
        </w:rPr>
        <w:t>département</w:t>
      </w:r>
      <w:r w:rsidR="00441928" w:rsidRPr="00441928">
        <w:t xml:space="preserve"> et partent à la recherche des traces et des témoignages qu’il a laissés dans sa famille et au cœur des archives municipales ou départementales.</w:t>
      </w:r>
      <w:r w:rsidR="008D1660">
        <w:t xml:space="preserve"> Ces traces et ces témoignages peuvent </w:t>
      </w:r>
      <w:r w:rsidR="000D785B">
        <w:t xml:space="preserve">ensuite être le point de départ d’évènements imaginaires mais sensés dans la vie de ce soldat. </w:t>
      </w:r>
    </w:p>
    <w:p w:rsidR="00F278BD" w:rsidRPr="00F278BD" w:rsidRDefault="00441928" w:rsidP="00016DDC">
      <w:pPr>
        <w:jc w:val="both"/>
      </w:pPr>
      <w:r w:rsidRPr="00441928">
        <w:t xml:space="preserve">Après </w:t>
      </w:r>
      <w:r w:rsidRPr="00016DDC">
        <w:rPr>
          <w:b/>
        </w:rPr>
        <w:t>avoir mené une minutieuse enquête</w:t>
      </w:r>
      <w:r w:rsidR="00016DDC">
        <w:rPr>
          <w:b/>
        </w:rPr>
        <w:t xml:space="preserve"> (archives)</w:t>
      </w:r>
      <w:r w:rsidRPr="00441928">
        <w:t>,</w:t>
      </w:r>
      <w:r w:rsidR="00016DDC">
        <w:t xml:space="preserve"> </w:t>
      </w:r>
      <w:r w:rsidRPr="00441928">
        <w:t xml:space="preserve"> </w:t>
      </w:r>
      <w:r w:rsidRPr="00016DDC">
        <w:rPr>
          <w:b/>
        </w:rPr>
        <w:t xml:space="preserve">les </w:t>
      </w:r>
      <w:r w:rsidR="00016DDC" w:rsidRPr="00016DDC">
        <w:rPr>
          <w:b/>
        </w:rPr>
        <w:t>élèves</w:t>
      </w:r>
      <w:r w:rsidRPr="00016DDC">
        <w:rPr>
          <w:b/>
        </w:rPr>
        <w:t xml:space="preserve"> confectionnent à leur tour un journal </w:t>
      </w:r>
      <w:r w:rsidR="00016DDC" w:rsidRPr="00016DDC">
        <w:rPr>
          <w:b/>
        </w:rPr>
        <w:t>artistique</w:t>
      </w:r>
      <w:r w:rsidR="00016DDC">
        <w:t xml:space="preserve">, </w:t>
      </w:r>
      <w:r w:rsidR="00016DDC" w:rsidRPr="00F278BD">
        <w:t xml:space="preserve">alliant expression littéraire, plastique ou numérique </w:t>
      </w:r>
      <w:r w:rsidRPr="00441928">
        <w:t>retraçant le parcours</w:t>
      </w:r>
      <w:r w:rsidR="00016DDC">
        <w:t xml:space="preserve"> de « leur » Poilu :</w:t>
      </w:r>
      <w:r w:rsidR="005456DE">
        <w:t xml:space="preserve"> </w:t>
      </w:r>
      <w:r w:rsidR="00016DDC">
        <w:t>p</w:t>
      </w:r>
      <w:r w:rsidRPr="00441928">
        <w:t>eintures, aquarelles, c</w:t>
      </w:r>
      <w:r w:rsidR="005E7D35">
        <w:t>roquis, poèmes, textes courts… L</w:t>
      </w:r>
      <w:r w:rsidRPr="00441928">
        <w:t>es travaux qui se distinguent par la qualité de leur contenu historique et artistique, l’originalité et l’émotion qu’ils dégagent s</w:t>
      </w:r>
      <w:r w:rsidR="005E7D35">
        <w:t>er</w:t>
      </w:r>
      <w:r w:rsidRPr="00441928">
        <w:t xml:space="preserve">ont distingués par </w:t>
      </w:r>
      <w:r w:rsidR="005E7D35">
        <w:t>un</w:t>
      </w:r>
      <w:r w:rsidRPr="00441928">
        <w:t xml:space="preserve"> jury national.</w:t>
      </w:r>
    </w:p>
    <w:p w:rsidR="00F278BD" w:rsidRPr="00F278BD" w:rsidRDefault="00F278BD" w:rsidP="005E7D35">
      <w:pPr>
        <w:jc w:val="both"/>
      </w:pPr>
      <w:r w:rsidRPr="00F278BD">
        <w:t xml:space="preserve">Dans ce but, l’étude des récits de guerre, des œuvres produites pendant le conflit à l’image de celle de </w:t>
      </w:r>
      <w:proofErr w:type="spellStart"/>
      <w:r w:rsidRPr="00F278BD">
        <w:t>Renefer</w:t>
      </w:r>
      <w:proofErr w:type="spellEnd"/>
      <w:r w:rsidRPr="00F278BD">
        <w:t xml:space="preserve"> et des œuvres réalisées après 1918 peuvent être des supports utiles de réflexion. </w:t>
      </w:r>
    </w:p>
    <w:p w:rsidR="00016DDC" w:rsidRPr="00087320" w:rsidRDefault="00016DDC" w:rsidP="00016DDC">
      <w:pPr>
        <w:pStyle w:val="Paragraphedeliste"/>
        <w:numPr>
          <w:ilvl w:val="0"/>
          <w:numId w:val="1"/>
        </w:numPr>
        <w:rPr>
          <w:u w:val="thick"/>
        </w:rPr>
      </w:pPr>
      <w:r w:rsidRPr="00087320">
        <w:rPr>
          <w:u w:val="thick"/>
        </w:rPr>
        <w:t>Modalités de participation</w:t>
      </w:r>
    </w:p>
    <w:p w:rsidR="00F278BD" w:rsidRPr="00F278BD" w:rsidRDefault="00087320" w:rsidP="00087320">
      <w:pPr>
        <w:jc w:val="both"/>
      </w:pPr>
      <w:r>
        <w:t xml:space="preserve">- </w:t>
      </w:r>
      <w:r w:rsidR="00F278BD" w:rsidRPr="00F278BD">
        <w:t xml:space="preserve">Les classes participantes doivent </w:t>
      </w:r>
      <w:r w:rsidR="00F278BD" w:rsidRPr="00E213E1">
        <w:rPr>
          <w:b/>
        </w:rPr>
        <w:t xml:space="preserve">s’inscrire auprès </w:t>
      </w:r>
      <w:r w:rsidRPr="00E213E1">
        <w:rPr>
          <w:b/>
        </w:rPr>
        <w:t>de leur circonscription</w:t>
      </w:r>
      <w:r>
        <w:t xml:space="preserve"> qui fera remonter les inscriptions au niveau de la Mission maîtrise de la langue.</w:t>
      </w:r>
    </w:p>
    <w:p w:rsidR="00F278BD" w:rsidRPr="00F278BD" w:rsidRDefault="00F278BD" w:rsidP="00087320">
      <w:pPr>
        <w:jc w:val="both"/>
      </w:pPr>
      <w:r w:rsidRPr="00F278BD">
        <w:t>- Les classes participantes autorisent l’utilisation, totale ou partielle, de leur travail par l’ONAC-VG</w:t>
      </w:r>
      <w:r w:rsidR="003179B1">
        <w:t xml:space="preserve"> </w:t>
      </w:r>
      <w:r w:rsidRPr="00F278BD">
        <w:t xml:space="preserve"> et ses partenaires (dans le cadre des dispositions du code de la propriété intellectuelle, notamment les articles L 122-1, 3, 5 et 7). Les participants conservent les droits moraux attachés à leurs travaux et les noms des établissements avec indication de la classe concernée seront systématiquement mentionnés lors d’éventuelles publications.</w:t>
      </w:r>
    </w:p>
    <w:p w:rsidR="00F278BD" w:rsidRPr="00F278BD" w:rsidRDefault="00F278BD" w:rsidP="00087320">
      <w:pPr>
        <w:jc w:val="both"/>
      </w:pPr>
      <w:r w:rsidRPr="00F278BD">
        <w:t>- Dans le cadre du droit à la protection de l’image (dans le cadres des dispositions du code de la propriété intellectuelle, notamment le 1</w:t>
      </w:r>
      <w:r w:rsidRPr="00F278BD">
        <w:rPr>
          <w:vertAlign w:val="superscript"/>
        </w:rPr>
        <w:t>er</w:t>
      </w:r>
      <w:r w:rsidRPr="00F278BD">
        <w:t xml:space="preserve"> alinéa de l'article 9) les enseignants des classes participantes veilleront à obtenir </w:t>
      </w:r>
      <w:r w:rsidRPr="00F278BD">
        <w:lastRenderedPageBreak/>
        <w:t>auprès des parents ou des représentants légaux des élèves concernés leur autorisation à la publication des films, enregistrements ou photographies représentant leurs enfants en cas d’édition sur les supports de communication des partenaires du concours. L’ONAC-VG s’engage, conformément aux dispositions légales en vigueur relatives au droit à l’image, à ce que la publication et la diffusion de l’image des élèves ainsi que les commentaires l’accompagnant ne portent pas atteinte à leur vie privée, à leur dignité et à leur réputation.</w:t>
      </w:r>
    </w:p>
    <w:p w:rsidR="00F278BD" w:rsidRPr="00F278BD" w:rsidRDefault="00F278BD" w:rsidP="00087320">
      <w:pPr>
        <w:jc w:val="both"/>
      </w:pPr>
      <w:r w:rsidRPr="00F278BD">
        <w:t xml:space="preserve">- </w:t>
      </w:r>
      <w:r w:rsidRPr="00087320">
        <w:rPr>
          <w:b/>
        </w:rPr>
        <w:t>Si possible</w:t>
      </w:r>
      <w:r w:rsidRPr="00F278BD">
        <w:t>, un support numérique (CD-ROM, DVD-ROM, clé USB) comportant les numérisations de chaque page du carnet, sera envoyé en même temps que le carnet « papier » dans la perspective de la valorisation de l’œuvre réalisée</w:t>
      </w:r>
      <w:r w:rsidR="00E213E1">
        <w:t>,</w:t>
      </w:r>
      <w:r w:rsidRPr="00F278BD">
        <w:t xml:space="preserve"> sur les outils de communication et de promotion </w:t>
      </w:r>
      <w:r w:rsidR="005E7D35">
        <w:t>de l’action</w:t>
      </w:r>
      <w:r w:rsidRPr="00F278BD">
        <w:t xml:space="preserve">. Les carnets ne seront pas retournés aux classes. </w:t>
      </w:r>
    </w:p>
    <w:p w:rsidR="00F278BD" w:rsidRPr="00087320" w:rsidRDefault="00F278BD" w:rsidP="00F278BD">
      <w:pPr>
        <w:rPr>
          <w:b/>
          <w:u w:val="single"/>
        </w:rPr>
      </w:pPr>
      <w:r w:rsidRPr="00F278BD">
        <w:rPr>
          <w:b/>
          <w:u w:val="single"/>
        </w:rPr>
        <w:t>Forme attendue des travaux transmis :</w:t>
      </w:r>
    </w:p>
    <w:p w:rsidR="00F278BD" w:rsidRPr="00F278BD" w:rsidRDefault="00087320" w:rsidP="0059632C">
      <w:pPr>
        <w:spacing w:after="0"/>
        <w:jc w:val="both"/>
      </w:pPr>
      <w:r>
        <w:rPr>
          <w:b/>
        </w:rPr>
        <w:t xml:space="preserve">- </w:t>
      </w:r>
      <w:r w:rsidR="00F278BD" w:rsidRPr="00087320">
        <w:rPr>
          <w:b/>
        </w:rPr>
        <w:t>Le carnet, réalisé sur support papier</w:t>
      </w:r>
      <w:r w:rsidR="00F278BD" w:rsidRPr="00F278BD">
        <w:t xml:space="preserve">, doit être relié (fil, agrafes, colle etc…). Toutes les techniques plastiques pourront être utilisées. Les </w:t>
      </w:r>
      <w:r w:rsidR="00F278BD" w:rsidRPr="00087320">
        <w:rPr>
          <w:b/>
        </w:rPr>
        <w:t>textes manuscrits seront privilégiés</w:t>
      </w:r>
      <w:r w:rsidR="00F278BD" w:rsidRPr="00F278BD">
        <w:t xml:space="preserve"> aux écrits dactylographiés ou copies.</w:t>
      </w:r>
    </w:p>
    <w:p w:rsidR="00F278BD" w:rsidRPr="00F278BD" w:rsidRDefault="00F278BD" w:rsidP="0059632C">
      <w:pPr>
        <w:jc w:val="both"/>
      </w:pPr>
      <w:r w:rsidRPr="00F278BD">
        <w:t xml:space="preserve">Le travail, composé d’une </w:t>
      </w:r>
      <w:r w:rsidRPr="00087320">
        <w:rPr>
          <w:b/>
        </w:rPr>
        <w:t>trentaine de pages maximum</w:t>
      </w:r>
      <w:r w:rsidRPr="00F278BD">
        <w:t xml:space="preserve">, </w:t>
      </w:r>
      <w:r w:rsidR="00DF70A5">
        <w:rPr>
          <w:b/>
        </w:rPr>
        <w:t>doit</w:t>
      </w:r>
      <w:r w:rsidRPr="00171EFE">
        <w:rPr>
          <w:b/>
        </w:rPr>
        <w:t xml:space="preserve"> </w:t>
      </w:r>
      <w:r w:rsidRPr="00087320">
        <w:rPr>
          <w:b/>
        </w:rPr>
        <w:t>mobiliser l’ensemble de la classe.</w:t>
      </w:r>
      <w:r w:rsidRPr="00F278BD">
        <w:t xml:space="preserve"> Le choix de la forme du carnet est libre mais les </w:t>
      </w:r>
      <w:r w:rsidRPr="00087320">
        <w:rPr>
          <w:b/>
        </w:rPr>
        <w:t>dimensions de l’objet final ne peuvent excéder un format A4</w:t>
      </w:r>
      <w:r w:rsidRPr="00F278BD">
        <w:t xml:space="preserve"> (29,7 x </w:t>
      </w:r>
      <w:smartTag w:uri="urn:schemas-microsoft-com:office:smarttags" w:element="metricconverter">
        <w:smartTagPr>
          <w:attr w:name="ProductID" w:val="21 cm"/>
        </w:smartTagPr>
        <w:r w:rsidRPr="00F278BD">
          <w:t>21 cm</w:t>
        </w:r>
      </w:smartTag>
      <w:r w:rsidRPr="00F278BD">
        <w:t>).</w:t>
      </w:r>
    </w:p>
    <w:p w:rsidR="00F278BD" w:rsidRPr="00F278BD" w:rsidRDefault="00F278BD" w:rsidP="0059632C">
      <w:pPr>
        <w:spacing w:after="0"/>
        <w:jc w:val="both"/>
        <w:rPr>
          <w:b/>
        </w:rPr>
      </w:pPr>
      <w:r w:rsidRPr="00F278BD">
        <w:rPr>
          <w:b/>
        </w:rPr>
        <w:t>-Pour une œuvre plastique (bande dessinée, sculptures, collages, photographie, installation éphémère …) :</w:t>
      </w:r>
    </w:p>
    <w:p w:rsidR="00F278BD" w:rsidRPr="00F278BD" w:rsidRDefault="00F278BD" w:rsidP="0059632C">
      <w:pPr>
        <w:spacing w:after="0"/>
        <w:jc w:val="both"/>
      </w:pPr>
      <w:r w:rsidRPr="00F278BD">
        <w:t>Un carnet présentant les principales étapes de réalisation, d’une trentaine de page maximum, est attendu.</w:t>
      </w:r>
    </w:p>
    <w:p w:rsidR="00F278BD" w:rsidRPr="00F278BD" w:rsidRDefault="00F278BD" w:rsidP="0059632C">
      <w:pPr>
        <w:jc w:val="both"/>
      </w:pPr>
      <w:r w:rsidRPr="00F278BD">
        <w:t xml:space="preserve">Le choix de la forme du carnet est libre mais les dimensions de l’objet final ne peuvent excéder un format A4 (29,7 x </w:t>
      </w:r>
      <w:smartTag w:uri="urn:schemas-microsoft-com:office:smarttags" w:element="metricconverter">
        <w:smartTagPr>
          <w:attr w:name="ProductID" w:val="21 cm"/>
        </w:smartTagPr>
        <w:r w:rsidRPr="00F278BD">
          <w:t>21 cm</w:t>
        </w:r>
      </w:smartTag>
      <w:r w:rsidRPr="00F278BD">
        <w:t>).Dans le cas d’une scu</w:t>
      </w:r>
      <w:r w:rsidR="00087320">
        <w:t>l</w:t>
      </w:r>
      <w:r w:rsidRPr="00F278BD">
        <w:t>pture ou d’une œuvre volumineuse, la classe est invitée à transmettre au moins cinq photographies, sous différents angles, présentant la réalisation dans son environnement.</w:t>
      </w:r>
    </w:p>
    <w:p w:rsidR="00F278BD" w:rsidRPr="00F278BD" w:rsidRDefault="00F278BD" w:rsidP="0059632C">
      <w:pPr>
        <w:spacing w:after="0"/>
        <w:jc w:val="both"/>
      </w:pPr>
      <w:r w:rsidRPr="00F278BD">
        <w:rPr>
          <w:b/>
        </w:rPr>
        <w:t>- Pour une œuvre numérique (exposition virtuelle, journal virtuel, diaporama, saynètes filmées …) :</w:t>
      </w:r>
      <w:r w:rsidRPr="00F278BD">
        <w:t xml:space="preserve"> </w:t>
      </w:r>
    </w:p>
    <w:p w:rsidR="00087320" w:rsidRPr="00F278BD" w:rsidRDefault="00F278BD" w:rsidP="0059632C">
      <w:pPr>
        <w:jc w:val="both"/>
      </w:pPr>
      <w:r w:rsidRPr="00F278BD">
        <w:t xml:space="preserve">L’œuvre, d’une durée comprise </w:t>
      </w:r>
      <w:r w:rsidRPr="00087320">
        <w:rPr>
          <w:b/>
        </w:rPr>
        <w:t>entre 15 et 30 minutes maximum</w:t>
      </w:r>
      <w:r w:rsidRPr="00F278BD">
        <w:t>, devra être fixée sur un support DVD-ROM ou une clé USB aux formats suivants : .</w:t>
      </w:r>
      <w:proofErr w:type="spellStart"/>
      <w:r w:rsidRPr="00F278BD">
        <w:t>avi</w:t>
      </w:r>
      <w:proofErr w:type="spellEnd"/>
      <w:r w:rsidRPr="00F278BD">
        <w:t> ; .mp4 ; .</w:t>
      </w:r>
      <w:proofErr w:type="spellStart"/>
      <w:r w:rsidRPr="00F278BD">
        <w:t>wmv</w:t>
      </w:r>
      <w:proofErr w:type="spellEnd"/>
      <w:r w:rsidRPr="00F278BD">
        <w:t>.</w:t>
      </w:r>
    </w:p>
    <w:p w:rsidR="00F278BD" w:rsidRPr="00087320" w:rsidRDefault="00087320" w:rsidP="00F278BD">
      <w:pPr>
        <w:pStyle w:val="Paragraphedeliste"/>
        <w:numPr>
          <w:ilvl w:val="0"/>
          <w:numId w:val="1"/>
        </w:numPr>
        <w:rPr>
          <w:u w:val="thick"/>
        </w:rPr>
      </w:pPr>
      <w:r w:rsidRPr="00087320">
        <w:rPr>
          <w:u w:val="thick"/>
        </w:rPr>
        <w:t>Critères de sélection</w:t>
      </w:r>
      <w:r w:rsidR="005E7D35">
        <w:rPr>
          <w:u w:val="thick"/>
        </w:rPr>
        <w:t xml:space="preserve"> au niveau national</w:t>
      </w:r>
    </w:p>
    <w:p w:rsidR="00F278BD" w:rsidRPr="00F278BD" w:rsidRDefault="00F278BD" w:rsidP="0059632C">
      <w:pPr>
        <w:jc w:val="both"/>
      </w:pPr>
      <w:r w:rsidRPr="00F278BD">
        <w:t xml:space="preserve">Le contenu de chaque support présenté sera apprécié sur sa </w:t>
      </w:r>
      <w:r w:rsidRPr="00087320">
        <w:rPr>
          <w:b/>
        </w:rPr>
        <w:t>qualité historique</w:t>
      </w:r>
      <w:r w:rsidRPr="00F278BD">
        <w:t xml:space="preserve">, son </w:t>
      </w:r>
      <w:r w:rsidRPr="00087320">
        <w:rPr>
          <w:b/>
        </w:rPr>
        <w:t>esthétisme</w:t>
      </w:r>
      <w:r w:rsidRPr="00F278BD">
        <w:t xml:space="preserve"> général, son </w:t>
      </w:r>
      <w:r w:rsidRPr="008C3B15">
        <w:rPr>
          <w:b/>
        </w:rPr>
        <w:t>originalité</w:t>
      </w:r>
      <w:r w:rsidRPr="00F278BD">
        <w:t xml:space="preserve"> et </w:t>
      </w:r>
      <w:r w:rsidRPr="008C3B15">
        <w:rPr>
          <w:b/>
        </w:rPr>
        <w:t>l’émotion</w:t>
      </w:r>
      <w:r w:rsidRPr="00F278BD">
        <w:t xml:space="preserve"> qu’il dégage</w:t>
      </w:r>
      <w:r w:rsidR="00DF70A5">
        <w:t>, au niveau national</w:t>
      </w:r>
      <w:r w:rsidRPr="00F278BD">
        <w:t>.</w:t>
      </w:r>
      <w:r w:rsidR="00DF70A5">
        <w:t xml:space="preserve"> </w:t>
      </w:r>
      <w:r w:rsidR="00DF70A5" w:rsidRPr="00DF70A5">
        <w:rPr>
          <w:b/>
        </w:rPr>
        <w:t>Pas de sélection pour le niveau académique</w:t>
      </w:r>
      <w:r w:rsidR="00DF70A5">
        <w:rPr>
          <w:b/>
        </w:rPr>
        <w:t>.</w:t>
      </w:r>
    </w:p>
    <w:p w:rsidR="00F278BD" w:rsidRPr="00F278BD" w:rsidRDefault="00F278BD" w:rsidP="0059632C">
      <w:pPr>
        <w:jc w:val="both"/>
      </w:pPr>
      <w:r w:rsidRPr="00F278BD">
        <w:t xml:space="preserve">Un </w:t>
      </w:r>
      <w:r w:rsidRPr="00F278BD">
        <w:rPr>
          <w:b/>
          <w:bCs/>
        </w:rPr>
        <w:t xml:space="preserve">document annexe, présentant la démarche pédagogique </w:t>
      </w:r>
      <w:r w:rsidRPr="00F278BD">
        <w:rPr>
          <w:bCs/>
        </w:rPr>
        <w:t>du professeur</w:t>
      </w:r>
      <w:r w:rsidR="0059632C">
        <w:rPr>
          <w:bCs/>
        </w:rPr>
        <w:t xml:space="preserve"> (aide possible des conseillers),</w:t>
      </w:r>
      <w:r w:rsidRPr="00F278BD">
        <w:t xml:space="preserve"> devra accompagner la production finale réalisée par la classe. Ce document présentera les raisons ayant guidé le choix du Poilu, les démarches entreprises ainsi que toute initiative propre à témoigner de l’implication particulière de la classe. Le sérieux et la qualité de </w:t>
      </w:r>
      <w:r w:rsidRPr="00F278BD">
        <w:rPr>
          <w:b/>
          <w:bCs/>
        </w:rPr>
        <w:t>son contenu seront pris en compte par le jury national.</w:t>
      </w:r>
      <w:r w:rsidRPr="00F278BD">
        <w:t xml:space="preserve"> </w:t>
      </w:r>
    </w:p>
    <w:p w:rsidR="00F278BD" w:rsidRPr="008C3B15" w:rsidRDefault="00F278BD" w:rsidP="00F278BD">
      <w:pPr>
        <w:pStyle w:val="Paragraphedeliste"/>
        <w:numPr>
          <w:ilvl w:val="0"/>
          <w:numId w:val="1"/>
        </w:numPr>
        <w:rPr>
          <w:u w:val="thick"/>
        </w:rPr>
      </w:pPr>
      <w:r w:rsidRPr="008C3B15">
        <w:t xml:space="preserve"> </w:t>
      </w:r>
      <w:r w:rsidRPr="008C3B15">
        <w:rPr>
          <w:u w:val="thick"/>
        </w:rPr>
        <w:t xml:space="preserve">Organisation </w:t>
      </w:r>
      <w:r w:rsidR="00726B9B">
        <w:rPr>
          <w:u w:val="thick"/>
        </w:rPr>
        <w:t>des récompenses</w:t>
      </w:r>
      <w:r w:rsidRPr="008C3B15">
        <w:rPr>
          <w:u w:val="thick"/>
        </w:rPr>
        <w:t xml:space="preserve">  </w:t>
      </w:r>
    </w:p>
    <w:p w:rsidR="00F278BD" w:rsidRPr="00F278BD" w:rsidRDefault="00F278BD" w:rsidP="00F278BD">
      <w:r w:rsidRPr="00F278BD">
        <w:sym w:font="Wingdings 2" w:char="F062"/>
      </w:r>
      <w:r w:rsidRPr="00F278BD">
        <w:t xml:space="preserve"> </w:t>
      </w:r>
      <w:r w:rsidR="00726B9B">
        <w:rPr>
          <w:i/>
        </w:rPr>
        <w:t xml:space="preserve">Au niveau </w:t>
      </w:r>
      <w:r w:rsidRPr="00171EFE">
        <w:rPr>
          <w:i/>
        </w:rPr>
        <w:t xml:space="preserve"> départemental</w:t>
      </w:r>
    </w:p>
    <w:p w:rsidR="00F278BD" w:rsidRPr="00E213E1" w:rsidRDefault="00726B9B" w:rsidP="00E213E1">
      <w:pPr>
        <w:jc w:val="both"/>
      </w:pPr>
      <w:r>
        <w:t>La Mission adresse au Comité académique</w:t>
      </w:r>
      <w:r w:rsidR="00F278BD" w:rsidRPr="00E213E1">
        <w:t xml:space="preserve"> du Centenaire le carnet </w:t>
      </w:r>
      <w:r w:rsidR="00961A61" w:rsidRPr="00E213E1">
        <w:t>(</w:t>
      </w:r>
      <w:r w:rsidR="00F278BD" w:rsidRPr="00E213E1">
        <w:t xml:space="preserve">ou </w:t>
      </w:r>
      <w:r w:rsidR="00961A61" w:rsidRPr="00E213E1">
        <w:t>toute</w:t>
      </w:r>
      <w:r w:rsidR="00F278BD" w:rsidRPr="00E213E1">
        <w:t xml:space="preserve"> autre forme de production</w:t>
      </w:r>
      <w:r w:rsidR="00961A61" w:rsidRPr="00E213E1">
        <w:t>)</w:t>
      </w:r>
      <w:r w:rsidR="00F278BD" w:rsidRPr="00E213E1">
        <w:t xml:space="preserve"> réalisé par la classe qui a participé au concours dans </w:t>
      </w:r>
      <w:r>
        <w:t>le</w:t>
      </w:r>
      <w:r w:rsidR="00F278BD" w:rsidRPr="00E213E1">
        <w:t xml:space="preserve"> département. </w:t>
      </w:r>
    </w:p>
    <w:p w:rsidR="00F278BD" w:rsidRPr="00DF70A5" w:rsidRDefault="00726B9B" w:rsidP="00E213E1">
      <w:pPr>
        <w:jc w:val="both"/>
        <w:rPr>
          <w:b/>
        </w:rPr>
      </w:pPr>
      <w:r>
        <w:t>Le service de l'ONAC-VG organise</w:t>
      </w:r>
      <w:r w:rsidR="00F278BD" w:rsidRPr="00E213E1">
        <w:rPr>
          <w:b/>
        </w:rPr>
        <w:t xml:space="preserve"> un jury départemental</w:t>
      </w:r>
      <w:r w:rsidR="00F278BD" w:rsidRPr="00E213E1">
        <w:t xml:space="preserve"> présidé par le directeur du service, qui a voix prépondérante</w:t>
      </w:r>
      <w:r>
        <w:t xml:space="preserve">. Ce jury </w:t>
      </w:r>
      <w:r w:rsidR="00F278BD" w:rsidRPr="00E213E1">
        <w:t xml:space="preserve">sélectionne le travail qui mérite le plus d’être </w:t>
      </w:r>
      <w:r w:rsidR="00F278BD" w:rsidRPr="00DF70A5">
        <w:rPr>
          <w:b/>
        </w:rPr>
        <w:t xml:space="preserve">soumis au niveau national. </w:t>
      </w:r>
    </w:p>
    <w:p w:rsidR="00F278BD" w:rsidRPr="00E213E1" w:rsidRDefault="00F278BD" w:rsidP="00E213E1">
      <w:pPr>
        <w:jc w:val="both"/>
        <w:rPr>
          <w:b/>
        </w:rPr>
      </w:pPr>
      <w:r w:rsidRPr="00732CEC">
        <w:rPr>
          <w:b/>
        </w:rPr>
        <w:t>Le service départemental de l'ONAC-VG  organise au mois de juin une</w:t>
      </w:r>
      <w:r w:rsidRPr="00E213E1">
        <w:t xml:space="preserve"> </w:t>
      </w:r>
      <w:r w:rsidRPr="00E213E1">
        <w:rPr>
          <w:b/>
        </w:rPr>
        <w:t xml:space="preserve">remise des prix locale pour </w:t>
      </w:r>
      <w:r w:rsidR="00E213E1" w:rsidRPr="00403C71">
        <w:rPr>
          <w:b/>
          <w:sz w:val="28"/>
          <w:szCs w:val="28"/>
        </w:rPr>
        <w:t>TOUS</w:t>
      </w:r>
      <w:r w:rsidRPr="00E213E1">
        <w:rPr>
          <w:b/>
        </w:rPr>
        <w:t xml:space="preserve"> les participants départementaux</w:t>
      </w:r>
      <w:r w:rsidR="00726B9B">
        <w:rPr>
          <w:b/>
        </w:rPr>
        <w:t>.</w:t>
      </w:r>
    </w:p>
    <w:p w:rsidR="00F278BD" w:rsidRPr="00171EFE" w:rsidRDefault="00F278BD" w:rsidP="00E213E1">
      <w:pPr>
        <w:jc w:val="both"/>
        <w:rPr>
          <w:i/>
        </w:rPr>
      </w:pPr>
      <w:r w:rsidRPr="00E213E1">
        <w:sym w:font="Wingdings 2" w:char="F062"/>
      </w:r>
      <w:r w:rsidRPr="00E213E1">
        <w:t xml:space="preserve"> </w:t>
      </w:r>
      <w:r w:rsidRPr="00171EFE">
        <w:rPr>
          <w:i/>
        </w:rPr>
        <w:t>L’implication des Comités académiques du Centenaire</w:t>
      </w:r>
    </w:p>
    <w:p w:rsidR="00F278BD" w:rsidRPr="00E213E1" w:rsidRDefault="00F278BD" w:rsidP="00E213E1">
      <w:pPr>
        <w:jc w:val="both"/>
      </w:pPr>
      <w:r w:rsidRPr="00E213E1">
        <w:lastRenderedPageBreak/>
        <w:t xml:space="preserve">Les </w:t>
      </w:r>
      <w:r w:rsidR="00DF70A5">
        <w:t xml:space="preserve">travaux </w:t>
      </w:r>
      <w:r w:rsidRPr="00E213E1">
        <w:t>départementaux seront transmis  au</w:t>
      </w:r>
      <w:r w:rsidR="00DF70A5">
        <w:t xml:space="preserve"> Comité académique</w:t>
      </w:r>
      <w:r w:rsidRPr="00E213E1">
        <w:t xml:space="preserve"> du Centenaire qui en retiendr</w:t>
      </w:r>
      <w:r w:rsidR="00DF70A5">
        <w:t xml:space="preserve">a un seul, </w:t>
      </w:r>
      <w:r w:rsidRPr="00E213E1">
        <w:t xml:space="preserve"> pour concourir au niveau national. </w:t>
      </w:r>
    </w:p>
    <w:p w:rsidR="00F278BD" w:rsidRPr="00E213E1" w:rsidRDefault="00F278BD" w:rsidP="00E213E1">
      <w:pPr>
        <w:jc w:val="both"/>
      </w:pPr>
      <w:r w:rsidRPr="00E213E1">
        <w:t xml:space="preserve">Le directeur du service départemental de l’ONAC-VG sera présent lors de </w:t>
      </w:r>
      <w:r w:rsidR="00DF70A5">
        <w:t>la sélection des travaux par le Comité</w:t>
      </w:r>
      <w:r w:rsidRPr="00E213E1">
        <w:t xml:space="preserve"> </w:t>
      </w:r>
      <w:r w:rsidR="00DF70A5">
        <w:t>académique</w:t>
      </w:r>
      <w:r w:rsidRPr="00E213E1">
        <w:t xml:space="preserve"> du Centenaire.</w:t>
      </w:r>
    </w:p>
    <w:p w:rsidR="00F278BD" w:rsidRPr="00E213E1" w:rsidRDefault="00F278BD" w:rsidP="00E213E1">
      <w:pPr>
        <w:jc w:val="both"/>
      </w:pPr>
      <w:r w:rsidRPr="00E213E1">
        <w:sym w:font="Wingdings 2" w:char="F062"/>
      </w:r>
      <w:r w:rsidRPr="00E213E1">
        <w:t xml:space="preserve"> </w:t>
      </w:r>
      <w:r w:rsidRPr="00171EFE">
        <w:rPr>
          <w:i/>
        </w:rPr>
        <w:t>Le prix national</w:t>
      </w:r>
    </w:p>
    <w:p w:rsidR="00F278BD" w:rsidRPr="00E213E1" w:rsidRDefault="00F278BD" w:rsidP="00E213E1">
      <w:pPr>
        <w:spacing w:after="0"/>
        <w:jc w:val="both"/>
      </w:pPr>
      <w:r w:rsidRPr="00E213E1">
        <w:t xml:space="preserve">- Le jury national, indépendant et souverain, est composé d’un représentant de chacun des partenaires du concours. Il est présidé par la directrice générale de l’ONAC-VG. </w:t>
      </w:r>
    </w:p>
    <w:p w:rsidR="00F278BD" w:rsidRPr="00E213E1" w:rsidRDefault="00F278BD" w:rsidP="00E213E1">
      <w:pPr>
        <w:spacing w:after="0"/>
        <w:jc w:val="both"/>
      </w:pPr>
      <w:r w:rsidRPr="00E213E1">
        <w:t>- Le Président a voix prépondérante.</w:t>
      </w:r>
    </w:p>
    <w:p w:rsidR="00F278BD" w:rsidRPr="00E213E1" w:rsidRDefault="00F278BD" w:rsidP="00E213E1">
      <w:pPr>
        <w:spacing w:after="0"/>
        <w:jc w:val="both"/>
      </w:pPr>
      <w:r w:rsidRPr="00E213E1">
        <w:t>- Les autres membres du jury disposent d’une voix de même valeur.</w:t>
      </w:r>
    </w:p>
    <w:p w:rsidR="00F278BD" w:rsidRPr="00E213E1" w:rsidRDefault="00F278BD" w:rsidP="00E213E1">
      <w:pPr>
        <w:spacing w:after="0"/>
        <w:jc w:val="both"/>
      </w:pPr>
      <w:r w:rsidRPr="00E213E1">
        <w:t xml:space="preserve">- Chaque production est examinée par le jury dont les décisions ne peuvent donner lieu à aucun recours. </w:t>
      </w:r>
    </w:p>
    <w:p w:rsidR="00F278BD" w:rsidRPr="00E213E1" w:rsidRDefault="00F278BD" w:rsidP="00E213E1">
      <w:pPr>
        <w:jc w:val="both"/>
      </w:pPr>
      <w:r w:rsidRPr="00E213E1">
        <w:t>- La liste des lauréats sera communiquée aux services départementaux de l’ONAC-VG par le département Mémoire et Communication. Les classes lauréates seront également informées par courrier du département Mémoir</w:t>
      </w:r>
      <w:r w:rsidR="005E7D35">
        <w:t>e et Communication de l’ONAC-VG.</w:t>
      </w:r>
      <w:r w:rsidRPr="00E213E1">
        <w:rPr>
          <w:i/>
          <w:iCs/>
        </w:rPr>
        <w:t xml:space="preserve"> </w:t>
      </w:r>
      <w:r w:rsidRPr="00E213E1">
        <w:rPr>
          <w:iCs/>
        </w:rPr>
        <w:t>Les sites internet des partenaires du concours communiqueront les résultats dès la fin des délibérations du jury national.</w:t>
      </w:r>
    </w:p>
    <w:p w:rsidR="00F278BD" w:rsidRDefault="00F278BD" w:rsidP="00F278BD">
      <w:pPr>
        <w:pStyle w:val="Paragraphedeliste"/>
        <w:numPr>
          <w:ilvl w:val="0"/>
          <w:numId w:val="1"/>
        </w:numPr>
        <w:rPr>
          <w:u w:val="thick"/>
        </w:rPr>
      </w:pPr>
      <w:r w:rsidRPr="008C3B15">
        <w:rPr>
          <w:b/>
          <w:u w:val="single"/>
        </w:rPr>
        <w:t xml:space="preserve"> </w:t>
      </w:r>
      <w:r w:rsidR="008C3B15">
        <w:rPr>
          <w:u w:val="thick"/>
        </w:rPr>
        <w:t xml:space="preserve">Calendrier </w:t>
      </w:r>
      <w:r w:rsidR="009F74DA">
        <w:rPr>
          <w:u w:val="thick"/>
        </w:rPr>
        <w:t>de l’action</w:t>
      </w:r>
      <w:r w:rsidR="008C3B15">
        <w:rPr>
          <w:u w:val="thick"/>
        </w:rPr>
        <w:t> </w:t>
      </w:r>
    </w:p>
    <w:p w:rsidR="005D2363" w:rsidRDefault="005D2363" w:rsidP="005D2363">
      <w:pPr>
        <w:pStyle w:val="Paragraphedeliste"/>
        <w:jc w:val="both"/>
        <w:rPr>
          <w:u w:val="thick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7739"/>
      </w:tblGrid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rPr>
                <w:b/>
                <w:bCs/>
              </w:rPr>
              <w:t>septembre 2013.</w:t>
            </w:r>
          </w:p>
        </w:tc>
        <w:tc>
          <w:tcPr>
            <w:tcW w:w="7739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>Lancement du concours dès la rentrée scolaire</w:t>
            </w:r>
            <w:r w:rsidR="00DF70A5">
              <w:t xml:space="preserve">- </w:t>
            </w:r>
            <w:r w:rsidR="00DF70A5" w:rsidRPr="00306D81">
              <w:rPr>
                <w:b/>
              </w:rPr>
              <w:t>inscription dans les circonscriptions</w:t>
            </w:r>
          </w:p>
        </w:tc>
      </w:tr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>
              <w:rPr>
                <w:b/>
                <w:bCs/>
              </w:rPr>
              <w:t>septembre</w:t>
            </w:r>
            <w:r w:rsidRPr="00F278BD">
              <w:rPr>
                <w:b/>
                <w:bCs/>
              </w:rPr>
              <w:t xml:space="preserve"> </w:t>
            </w:r>
            <w:r w:rsidRPr="00F278BD">
              <w:rPr>
                <w:b/>
              </w:rPr>
              <w:t>au 15 mai 2014.</w:t>
            </w:r>
          </w:p>
        </w:tc>
        <w:tc>
          <w:tcPr>
            <w:tcW w:w="7739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>Travail de recherche et de ré</w:t>
            </w:r>
            <w:r w:rsidR="00DF70A5">
              <w:t>alisation de l’œuvre mémorielle.</w:t>
            </w:r>
          </w:p>
        </w:tc>
      </w:tr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rPr>
                <w:b/>
              </w:rPr>
              <w:t>15 mai 2014</w:t>
            </w:r>
          </w:p>
        </w:tc>
        <w:tc>
          <w:tcPr>
            <w:tcW w:w="7739" w:type="dxa"/>
          </w:tcPr>
          <w:p w:rsidR="005D2363" w:rsidRDefault="005D2363" w:rsidP="00DF70A5">
            <w:pPr>
              <w:pStyle w:val="Paragraphedeliste"/>
              <w:ind w:left="0"/>
              <w:jc w:val="both"/>
              <w:rPr>
                <w:u w:val="thick"/>
              </w:rPr>
            </w:pPr>
            <w:r w:rsidRPr="00306D81">
              <w:rPr>
                <w:b/>
              </w:rPr>
              <w:t>Date limite d’envoi</w:t>
            </w:r>
            <w:r w:rsidRPr="00F278BD">
              <w:t xml:space="preserve"> des travaux </w:t>
            </w:r>
            <w:r w:rsidR="00DF70A5">
              <w:t>aux circonscriptions qui transmettront à la Mission.</w:t>
            </w:r>
          </w:p>
        </w:tc>
      </w:tr>
      <w:tr w:rsidR="005D2363" w:rsidTr="005D2363">
        <w:tc>
          <w:tcPr>
            <w:tcW w:w="2801" w:type="dxa"/>
          </w:tcPr>
          <w:p w:rsidR="009F74DA" w:rsidRDefault="009F74DA" w:rsidP="005D2363">
            <w:pPr>
              <w:pStyle w:val="Paragraphedeliste"/>
              <w:ind w:left="0"/>
              <w:jc w:val="both"/>
              <w:rPr>
                <w:b/>
              </w:rPr>
            </w:pPr>
          </w:p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rPr>
                <w:b/>
              </w:rPr>
              <w:t>15 juin 2014</w:t>
            </w:r>
          </w:p>
        </w:tc>
        <w:tc>
          <w:tcPr>
            <w:tcW w:w="7739" w:type="dxa"/>
          </w:tcPr>
          <w:p w:rsidR="005D2363" w:rsidRDefault="005D2363" w:rsidP="005E7D35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>Transmission</w:t>
            </w:r>
            <w:r w:rsidR="00DF70A5">
              <w:t xml:space="preserve"> par la Mission</w:t>
            </w:r>
            <w:r w:rsidRPr="00F278BD">
              <w:t xml:space="preserve"> des </w:t>
            </w:r>
            <w:r w:rsidR="00DF70A5">
              <w:t>productions</w:t>
            </w:r>
            <w:r w:rsidRPr="00F278BD">
              <w:t xml:space="preserve"> </w:t>
            </w:r>
            <w:r w:rsidR="00DF70A5">
              <w:t>au Comité académique</w:t>
            </w:r>
            <w:r w:rsidR="005E7D35">
              <w:t xml:space="preserve"> du Centenaire et à l’ONACVG.</w:t>
            </w:r>
          </w:p>
        </w:tc>
      </w:tr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 xml:space="preserve">mois de </w:t>
            </w:r>
            <w:r w:rsidRPr="00F278BD">
              <w:rPr>
                <w:b/>
              </w:rPr>
              <w:t>juin</w:t>
            </w:r>
          </w:p>
        </w:tc>
        <w:tc>
          <w:tcPr>
            <w:tcW w:w="7739" w:type="dxa"/>
          </w:tcPr>
          <w:p w:rsidR="005D2363" w:rsidRDefault="00DF70A5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306D81">
              <w:rPr>
                <w:b/>
              </w:rPr>
              <w:t>Récompense</w:t>
            </w:r>
            <w:r w:rsidR="009F74DA" w:rsidRPr="00306D81">
              <w:rPr>
                <w:b/>
              </w:rPr>
              <w:t xml:space="preserve"> de</w:t>
            </w:r>
            <w:r w:rsidR="009F74DA">
              <w:t xml:space="preserve"> </w:t>
            </w:r>
            <w:r w:rsidRPr="001C5E27">
              <w:rPr>
                <w:b/>
              </w:rPr>
              <w:t>TOUS les participants</w:t>
            </w:r>
            <w:r>
              <w:t xml:space="preserve"> au niveau départemental. Cérémonie orchestrée par l’ONACVG.</w:t>
            </w:r>
          </w:p>
        </w:tc>
      </w:tr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rPr>
                <w:b/>
              </w:rPr>
              <w:t>10 juillet 2014</w:t>
            </w:r>
          </w:p>
        </w:tc>
        <w:tc>
          <w:tcPr>
            <w:tcW w:w="7739" w:type="dxa"/>
          </w:tcPr>
          <w:p w:rsidR="005D2363" w:rsidRDefault="005D2363" w:rsidP="005E7D35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 xml:space="preserve">Transmission </w:t>
            </w:r>
            <w:r w:rsidR="001C5E27">
              <w:t>d’une production au jury national.</w:t>
            </w:r>
          </w:p>
        </w:tc>
      </w:tr>
      <w:tr w:rsidR="005D2363" w:rsidTr="005D2363">
        <w:tc>
          <w:tcPr>
            <w:tcW w:w="2801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rPr>
                <w:b/>
              </w:rPr>
              <w:t>début septembre 2014</w:t>
            </w:r>
          </w:p>
        </w:tc>
        <w:tc>
          <w:tcPr>
            <w:tcW w:w="7739" w:type="dxa"/>
          </w:tcPr>
          <w:p w:rsidR="005D2363" w:rsidRDefault="005D2363" w:rsidP="005D2363">
            <w:pPr>
              <w:pStyle w:val="Paragraphedeliste"/>
              <w:ind w:left="0"/>
              <w:jc w:val="both"/>
              <w:rPr>
                <w:u w:val="thick"/>
              </w:rPr>
            </w:pPr>
            <w:r w:rsidRPr="00F278BD">
              <w:t>Annonce des résultats</w:t>
            </w:r>
            <w:r w:rsidRPr="00F278BD">
              <w:rPr>
                <w:b/>
                <w:bCs/>
              </w:rPr>
              <w:t xml:space="preserve"> </w:t>
            </w:r>
            <w:r w:rsidR="001C5E27">
              <w:rPr>
                <w:b/>
              </w:rPr>
              <w:t>nationaux.</w:t>
            </w:r>
          </w:p>
        </w:tc>
      </w:tr>
      <w:tr w:rsidR="005D2363" w:rsidTr="005D2363">
        <w:tc>
          <w:tcPr>
            <w:tcW w:w="2801" w:type="dxa"/>
          </w:tcPr>
          <w:p w:rsidR="005D2363" w:rsidRPr="00F278BD" w:rsidRDefault="005D2363" w:rsidP="005D2363">
            <w:pPr>
              <w:pStyle w:val="Paragraphedeliste"/>
              <w:ind w:left="0"/>
              <w:jc w:val="both"/>
              <w:rPr>
                <w:b/>
              </w:rPr>
            </w:pPr>
            <w:r w:rsidRPr="00F278BD">
              <w:rPr>
                <w:b/>
              </w:rPr>
              <w:t>novembre 2014</w:t>
            </w:r>
          </w:p>
        </w:tc>
        <w:tc>
          <w:tcPr>
            <w:tcW w:w="7739" w:type="dxa"/>
          </w:tcPr>
          <w:p w:rsidR="005D2363" w:rsidRPr="00F278BD" w:rsidRDefault="005D2363" w:rsidP="005D2363">
            <w:pPr>
              <w:pStyle w:val="Paragraphedeliste"/>
              <w:ind w:left="0"/>
              <w:jc w:val="both"/>
            </w:pPr>
            <w:r w:rsidRPr="00F278BD">
              <w:t>Remise des</w:t>
            </w:r>
            <w:r w:rsidR="001C5E27">
              <w:t xml:space="preserve"> prix dans un lieu prestigieux au niveau national.</w:t>
            </w:r>
          </w:p>
        </w:tc>
      </w:tr>
    </w:tbl>
    <w:p w:rsidR="005D2363" w:rsidRDefault="005D2363" w:rsidP="00207002">
      <w:pPr>
        <w:spacing w:after="0"/>
        <w:rPr>
          <w:u w:val="thick"/>
        </w:rPr>
      </w:pPr>
    </w:p>
    <w:p w:rsidR="005D2363" w:rsidRDefault="00F278BD" w:rsidP="00E213E1">
      <w:pPr>
        <w:spacing w:after="0"/>
        <w:jc w:val="both"/>
        <w:rPr>
          <w:bCs/>
        </w:rPr>
      </w:pPr>
      <w:r w:rsidRPr="00F278BD">
        <w:rPr>
          <w:bCs/>
        </w:rPr>
        <w:t xml:space="preserve">La classe participante est encouragée à participer à la </w:t>
      </w:r>
      <w:r w:rsidRPr="00F278BD">
        <w:rPr>
          <w:b/>
          <w:bCs/>
        </w:rPr>
        <w:t>commémoration de l’Armistice du 11 novembre 1918 et aux différentes commémorations locales et nationales organisées à l’occasion du Centenaire.</w:t>
      </w:r>
    </w:p>
    <w:p w:rsidR="005D2363" w:rsidRPr="005D2363" w:rsidRDefault="005D2363" w:rsidP="005D2363">
      <w:pPr>
        <w:spacing w:after="0"/>
        <w:rPr>
          <w:bCs/>
        </w:rPr>
      </w:pPr>
    </w:p>
    <w:p w:rsidR="00F278BD" w:rsidRPr="008C3B15" w:rsidRDefault="005D2363" w:rsidP="00F278BD">
      <w:r>
        <w:t xml:space="preserve">       </w:t>
      </w:r>
      <w:r w:rsidR="008C3B15" w:rsidRPr="008C3B15">
        <w:t xml:space="preserve">6- </w:t>
      </w:r>
      <w:r w:rsidR="00F278BD" w:rsidRPr="008C3B15">
        <w:t xml:space="preserve"> </w:t>
      </w:r>
      <w:r w:rsidR="00F278BD" w:rsidRPr="008C3B15">
        <w:rPr>
          <w:u w:val="thick"/>
        </w:rPr>
        <w:t>Organisation de la remise des prix nationaux aux lauréats</w:t>
      </w:r>
      <w:r w:rsidR="008C3B15">
        <w:t> </w:t>
      </w:r>
    </w:p>
    <w:p w:rsidR="00F278BD" w:rsidRPr="00F278BD" w:rsidRDefault="00F278BD" w:rsidP="00E213E1">
      <w:pPr>
        <w:spacing w:after="0"/>
        <w:jc w:val="both"/>
      </w:pPr>
      <w:r w:rsidRPr="00F278BD">
        <w:t>Les trente académies et deux vice-rectorats (Polynésie et Nouvel</w:t>
      </w:r>
      <w:r w:rsidR="00171EFE">
        <w:t>le-Calédonie) seront représenté</w:t>
      </w:r>
      <w:r w:rsidRPr="00F278BD">
        <w:t>s lors de cette cérémonie.</w:t>
      </w:r>
    </w:p>
    <w:p w:rsidR="00F278BD" w:rsidRPr="008C3B15" w:rsidRDefault="00F278BD" w:rsidP="00E213E1">
      <w:pPr>
        <w:jc w:val="both"/>
      </w:pPr>
      <w:r w:rsidRPr="00F278BD">
        <w:t>Des représentants des élèves des classes retenues par académie/vice-rectorat et leur professeur(e) seront conviés à recevoir leur prix  en novembre 2014 selon le palmarès suivant :</w:t>
      </w:r>
    </w:p>
    <w:p w:rsidR="00F278BD" w:rsidRPr="00F278BD" w:rsidRDefault="00F278BD" w:rsidP="00E213E1">
      <w:pPr>
        <w:spacing w:after="0"/>
        <w:jc w:val="both"/>
      </w:pPr>
      <w:r w:rsidRPr="00F278BD">
        <w:sym w:font="Wingdings 2" w:char="F062"/>
      </w:r>
      <w:r w:rsidRPr="00F278BD">
        <w:t xml:space="preserve"> 1</w:t>
      </w:r>
      <w:r w:rsidRPr="00F278BD">
        <w:rPr>
          <w:vertAlign w:val="superscript"/>
        </w:rPr>
        <w:t>er</w:t>
      </w:r>
      <w:r w:rsidRPr="00F278BD">
        <w:t xml:space="preserve"> prix  </w:t>
      </w:r>
    </w:p>
    <w:p w:rsidR="00F278BD" w:rsidRPr="00F278BD" w:rsidRDefault="00F278BD" w:rsidP="00E213E1">
      <w:pPr>
        <w:spacing w:after="0"/>
        <w:jc w:val="both"/>
      </w:pPr>
      <w:r w:rsidRPr="00F278BD">
        <w:sym w:font="Wingdings 2" w:char="F062"/>
      </w:r>
      <w:r w:rsidRPr="00F278BD">
        <w:t xml:space="preserve"> </w:t>
      </w:r>
      <w:r w:rsidRPr="00171EFE">
        <w:rPr>
          <w:b/>
        </w:rPr>
        <w:t>1</w:t>
      </w:r>
      <w:r w:rsidRPr="00171EFE">
        <w:rPr>
          <w:b/>
          <w:vertAlign w:val="superscript"/>
        </w:rPr>
        <w:t>er</w:t>
      </w:r>
      <w:r w:rsidRPr="00171EFE">
        <w:rPr>
          <w:b/>
        </w:rPr>
        <w:t xml:space="preserve"> Prix Outre-Mer</w:t>
      </w:r>
    </w:p>
    <w:p w:rsidR="00F278BD" w:rsidRPr="00F278BD" w:rsidRDefault="00F278BD" w:rsidP="00E213E1">
      <w:pPr>
        <w:spacing w:after="0"/>
        <w:jc w:val="both"/>
      </w:pPr>
      <w:r w:rsidRPr="00F278BD">
        <w:sym w:font="Wingdings 2" w:char="F062"/>
      </w:r>
      <w:r w:rsidRPr="00F278BD">
        <w:t xml:space="preserve"> 2</w:t>
      </w:r>
      <w:r w:rsidRPr="00F278BD">
        <w:rPr>
          <w:vertAlign w:val="superscript"/>
        </w:rPr>
        <w:t xml:space="preserve">ème </w:t>
      </w:r>
      <w:r w:rsidRPr="00F278BD">
        <w:t xml:space="preserve"> prix  </w:t>
      </w:r>
    </w:p>
    <w:p w:rsidR="00F278BD" w:rsidRPr="00F278BD" w:rsidRDefault="00F278BD" w:rsidP="00E213E1">
      <w:pPr>
        <w:spacing w:after="0"/>
        <w:jc w:val="both"/>
      </w:pPr>
      <w:r w:rsidRPr="00F278BD">
        <w:sym w:font="Wingdings 2" w:char="F062"/>
      </w:r>
      <w:r w:rsidRPr="00F278BD">
        <w:t xml:space="preserve"> 3</w:t>
      </w:r>
      <w:r w:rsidRPr="00F278BD">
        <w:rPr>
          <w:vertAlign w:val="superscript"/>
        </w:rPr>
        <w:t>ème</w:t>
      </w:r>
      <w:r w:rsidRPr="00F278BD">
        <w:t xml:space="preserve"> prix </w:t>
      </w:r>
    </w:p>
    <w:p w:rsidR="00F278BD" w:rsidRPr="00F278BD" w:rsidRDefault="00F278BD" w:rsidP="00E213E1">
      <w:pPr>
        <w:jc w:val="both"/>
      </w:pPr>
      <w:r w:rsidRPr="00F278BD">
        <w:sym w:font="Wingdings 2" w:char="F062"/>
      </w:r>
      <w:r w:rsidRPr="00F278BD">
        <w:t xml:space="preserve"> Mentions spéciales (artistiq</w:t>
      </w:r>
      <w:r w:rsidR="00171EFE">
        <w:t>ue, pédagogique, originalité,…).</w:t>
      </w:r>
    </w:p>
    <w:p w:rsidR="00F278BD" w:rsidRPr="00F278BD" w:rsidRDefault="00F278BD" w:rsidP="00E213E1">
      <w:pPr>
        <w:spacing w:after="0"/>
        <w:jc w:val="both"/>
      </w:pPr>
      <w:r w:rsidRPr="00F278BD">
        <w:t xml:space="preserve">Chaque partenaire </w:t>
      </w:r>
      <w:r w:rsidR="005E7D35">
        <w:t>de l’action</w:t>
      </w:r>
      <w:bookmarkStart w:id="0" w:name="_GoBack"/>
      <w:bookmarkEnd w:id="0"/>
      <w:r w:rsidRPr="00F278BD">
        <w:t xml:space="preserve"> remettra un prix.</w:t>
      </w:r>
    </w:p>
    <w:p w:rsidR="001E4CED" w:rsidRDefault="00F278BD" w:rsidP="001C5E27">
      <w:pPr>
        <w:jc w:val="both"/>
      </w:pPr>
      <w:r w:rsidRPr="00F278BD">
        <w:t>Tous les représentants d’académies invités re</w:t>
      </w:r>
      <w:r w:rsidR="008C3B15">
        <w:t>cevront un lot à cette occasion.</w:t>
      </w:r>
    </w:p>
    <w:sectPr w:rsidR="001E4CED" w:rsidSect="00113173">
      <w:footerReference w:type="default" r:id="rId9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21" w:rsidRDefault="00A92621" w:rsidP="00F278BD">
      <w:pPr>
        <w:spacing w:after="0" w:line="240" w:lineRule="auto"/>
      </w:pPr>
      <w:r>
        <w:separator/>
      </w:r>
    </w:p>
  </w:endnote>
  <w:endnote w:type="continuationSeparator" w:id="0">
    <w:p w:rsidR="00A92621" w:rsidRDefault="00A92621" w:rsidP="00F2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15582"/>
      <w:docPartObj>
        <w:docPartGallery w:val="Page Numbers (Bottom of Page)"/>
        <w:docPartUnique/>
      </w:docPartObj>
    </w:sdtPr>
    <w:sdtEndPr/>
    <w:sdtContent>
      <w:p w:rsidR="00113173" w:rsidRDefault="001131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35">
          <w:rPr>
            <w:noProof/>
          </w:rPr>
          <w:t>3</w:t>
        </w:r>
        <w:r>
          <w:fldChar w:fldCharType="end"/>
        </w:r>
      </w:p>
    </w:sdtContent>
  </w:sdt>
  <w:p w:rsidR="004F5F21" w:rsidRDefault="00732CEC">
    <w:pPr>
      <w:pStyle w:val="Pieddepage"/>
    </w:pPr>
    <w:r>
      <w:t>Mission maîtrise de la langue – septembre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21" w:rsidRDefault="00A92621" w:rsidP="00F278BD">
      <w:pPr>
        <w:spacing w:after="0" w:line="240" w:lineRule="auto"/>
      </w:pPr>
      <w:r>
        <w:separator/>
      </w:r>
    </w:p>
  </w:footnote>
  <w:footnote w:type="continuationSeparator" w:id="0">
    <w:p w:rsidR="00A92621" w:rsidRDefault="00A92621" w:rsidP="00F2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640"/>
    <w:multiLevelType w:val="hybridMultilevel"/>
    <w:tmpl w:val="BF5253AA"/>
    <w:lvl w:ilvl="0" w:tplc="1E6E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AF7"/>
    <w:multiLevelType w:val="hybridMultilevel"/>
    <w:tmpl w:val="FC0C1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FAF"/>
    <w:multiLevelType w:val="hybridMultilevel"/>
    <w:tmpl w:val="DF041B58"/>
    <w:lvl w:ilvl="0" w:tplc="87880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1C95"/>
    <w:multiLevelType w:val="hybridMultilevel"/>
    <w:tmpl w:val="3B800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9"/>
    <w:rsid w:val="00016DDC"/>
    <w:rsid w:val="0002226A"/>
    <w:rsid w:val="00087320"/>
    <w:rsid w:val="000D785B"/>
    <w:rsid w:val="000F2A5B"/>
    <w:rsid w:val="00113173"/>
    <w:rsid w:val="00171EFE"/>
    <w:rsid w:val="001C5E27"/>
    <w:rsid w:val="001E4CED"/>
    <w:rsid w:val="0020187E"/>
    <w:rsid w:val="00207002"/>
    <w:rsid w:val="0029577F"/>
    <w:rsid w:val="002F23BA"/>
    <w:rsid w:val="00306D81"/>
    <w:rsid w:val="003179B1"/>
    <w:rsid w:val="00373836"/>
    <w:rsid w:val="003D232F"/>
    <w:rsid w:val="003E29D4"/>
    <w:rsid w:val="00403C71"/>
    <w:rsid w:val="00441928"/>
    <w:rsid w:val="004A2E49"/>
    <w:rsid w:val="004F5F21"/>
    <w:rsid w:val="005456DE"/>
    <w:rsid w:val="0059632C"/>
    <w:rsid w:val="005D2363"/>
    <w:rsid w:val="005E7D35"/>
    <w:rsid w:val="00647D58"/>
    <w:rsid w:val="006A7A3F"/>
    <w:rsid w:val="00726B9B"/>
    <w:rsid w:val="00732CEC"/>
    <w:rsid w:val="0074200B"/>
    <w:rsid w:val="008205D1"/>
    <w:rsid w:val="008337A9"/>
    <w:rsid w:val="008869A1"/>
    <w:rsid w:val="008C1799"/>
    <w:rsid w:val="008C3B15"/>
    <w:rsid w:val="008D1660"/>
    <w:rsid w:val="009252F1"/>
    <w:rsid w:val="00961A61"/>
    <w:rsid w:val="00996BB1"/>
    <w:rsid w:val="009F74DA"/>
    <w:rsid w:val="00A02F6E"/>
    <w:rsid w:val="00A7030D"/>
    <w:rsid w:val="00A92621"/>
    <w:rsid w:val="00B66F10"/>
    <w:rsid w:val="00BA5DDC"/>
    <w:rsid w:val="00D731DD"/>
    <w:rsid w:val="00D80A1B"/>
    <w:rsid w:val="00DF1C3B"/>
    <w:rsid w:val="00DF70A5"/>
    <w:rsid w:val="00E213E1"/>
    <w:rsid w:val="00E63481"/>
    <w:rsid w:val="00F278BD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3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semiHidden/>
    <w:rsid w:val="00F2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278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278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20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0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3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F21"/>
  </w:style>
  <w:style w:type="paragraph" w:styleId="Pieddepage">
    <w:name w:val="footer"/>
    <w:basedOn w:val="Normal"/>
    <w:link w:val="PieddepageCar"/>
    <w:uiPriority w:val="99"/>
    <w:unhideWhenUsed/>
    <w:rsid w:val="004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3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semiHidden/>
    <w:rsid w:val="00F2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278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278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20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0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3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F21"/>
  </w:style>
  <w:style w:type="paragraph" w:styleId="Pieddepage">
    <w:name w:val="footer"/>
    <w:basedOn w:val="Normal"/>
    <w:link w:val="PieddepageCar"/>
    <w:uiPriority w:val="99"/>
    <w:unhideWhenUsed/>
    <w:rsid w:val="004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4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Monique</dc:creator>
  <cp:lastModifiedBy>ALFRED Monique</cp:lastModifiedBy>
  <cp:revision>16</cp:revision>
  <dcterms:created xsi:type="dcterms:W3CDTF">2013-09-10T14:37:00Z</dcterms:created>
  <dcterms:modified xsi:type="dcterms:W3CDTF">2013-09-15T20:56:00Z</dcterms:modified>
</cp:coreProperties>
</file>