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0D5" w:rsidRDefault="00300EE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alt="Zone de texte 8" style="position:absolute;margin-left:217.65pt;margin-top:25.95pt;width:552.2pt;height:308.6pt;z-index:251666432;visibility:visible;mso-wrap-distance-left:0;mso-wrap-distance-right:0;mso-position-horizontal-relative:margin;mso-position-vertical-relative:line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" strokeweight=".5pt">
            <v:stroke joinstyle="round"/>
            <v:textbox style="mso-next-textbox:#_x0000_s1034" inset="3.6pt,,3.6pt">
              <w:txbxContent>
                <w:p w:rsidR="00BF4E4E" w:rsidRPr="004D056F" w:rsidRDefault="00BF4E4E" w:rsidP="00BF4E4E">
                  <w:pPr>
                    <w:pStyle w:val="Corps"/>
                    <w:jc w:val="center"/>
                    <w:rPr>
                      <w:rFonts w:asciiTheme="minorHAnsi" w:hAnsiTheme="minorHAnsi" w:cstheme="majorBidi"/>
                      <w:b/>
                      <w:bCs/>
                      <w:color w:val="auto"/>
                    </w:rPr>
                  </w:pPr>
                  <w:r w:rsidRPr="004D056F">
                    <w:rPr>
                      <w:rFonts w:asciiTheme="minorHAnsi" w:hAnsiTheme="minorHAnsi" w:cstheme="majorBidi"/>
                      <w:b/>
                      <w:bCs/>
                      <w:color w:val="auto"/>
                    </w:rPr>
                    <w:t>Titre du 1</w:t>
                  </w:r>
                  <w:r w:rsidRPr="004D056F">
                    <w:rPr>
                      <w:rFonts w:asciiTheme="minorHAnsi" w:hAnsiTheme="minorHAnsi" w:cstheme="majorBidi"/>
                      <w:b/>
                      <w:bCs/>
                      <w:color w:val="auto"/>
                      <w:vertAlign w:val="superscript"/>
                    </w:rPr>
                    <w:t>er</w:t>
                  </w:r>
                  <w:r w:rsidRPr="004D056F">
                    <w:rPr>
                      <w:rFonts w:asciiTheme="minorHAnsi" w:hAnsiTheme="minorHAnsi" w:cstheme="majorBidi"/>
                      <w:b/>
                      <w:bCs/>
                      <w:color w:val="auto"/>
                    </w:rPr>
                    <w:t xml:space="preserve"> sous- chapitre : Mutations et santé     </w:t>
                  </w:r>
                </w:p>
                <w:p w:rsidR="00BF4E4E" w:rsidRPr="004D056F" w:rsidRDefault="00BF4E4E" w:rsidP="00BF4E4E">
                  <w:pPr>
                    <w:pStyle w:val="Corps"/>
                    <w:rPr>
                      <w:rFonts w:asciiTheme="minorHAnsi" w:hAnsiTheme="minorHAnsi" w:cstheme="majorBidi"/>
                      <w:b/>
                      <w:bCs/>
                      <w:color w:val="FF0000"/>
                      <w:u w:color="FF0000"/>
                    </w:rPr>
                  </w:pPr>
                </w:p>
                <w:p w:rsidR="00BF4E4E" w:rsidRPr="004D056F" w:rsidRDefault="00BF4E4E" w:rsidP="00BF4E4E">
                  <w:pPr>
                    <w:pStyle w:val="Corps"/>
                    <w:rPr>
                      <w:rFonts w:asciiTheme="minorHAnsi" w:eastAsia="Times" w:hAnsiTheme="minorHAnsi" w:cstheme="majorBidi"/>
                    </w:rPr>
                  </w:pPr>
                  <w:r w:rsidRPr="004D056F">
                    <w:rPr>
                      <w:rFonts w:asciiTheme="minorHAnsi" w:hAnsiTheme="minorHAnsi" w:cstheme="majorBidi"/>
                      <w:b/>
                      <w:bCs/>
                      <w:color w:val="FF0000"/>
                      <w:u w:color="FF0000"/>
                    </w:rPr>
                    <w:t>Nouveautés en termes de connaissance </w:t>
                  </w:r>
                  <w:r w:rsidRPr="004D056F">
                    <w:rPr>
                      <w:rFonts w:asciiTheme="minorHAnsi" w:hAnsiTheme="minorHAnsi" w:cstheme="majorBidi"/>
                      <w:color w:val="FF0000"/>
                      <w:u w:color="FF0000"/>
                    </w:rPr>
                    <w:t>:</w:t>
                  </w:r>
                </w:p>
                <w:p w:rsidR="00BF4E4E" w:rsidRPr="00E54C75" w:rsidRDefault="00BF4E4E" w:rsidP="00BF4E4E">
                  <w:pPr>
                    <w:pStyle w:val="Corps"/>
                    <w:numPr>
                      <w:ilvl w:val="0"/>
                      <w:numId w:val="5"/>
                    </w:numPr>
                    <w:rPr>
                      <w:rFonts w:asciiTheme="minorHAnsi" w:eastAsia="Calibri" w:hAnsiTheme="minorHAnsi" w:cstheme="majorBidi"/>
                      <w:color w:val="FF0000"/>
                      <w:highlight w:val="yellow"/>
                      <w:u w:color="FF0000"/>
                    </w:rPr>
                  </w:pPr>
                  <w:r w:rsidRPr="00E54C75">
                    <w:rPr>
                      <w:rFonts w:asciiTheme="minorHAnsi" w:eastAsia="Calibri" w:hAnsiTheme="minorHAnsi" w:cstheme="majorBidi"/>
                      <w:color w:val="FF0000"/>
                      <w:highlight w:val="yellow"/>
                      <w:u w:color="FF0000"/>
                    </w:rPr>
                    <w:t>L’étude des génomes de grandes cohortes de patients est à la base de l’identification des gènes correspondants</w:t>
                  </w:r>
                </w:p>
                <w:p w:rsidR="00BF4E4E" w:rsidRPr="00E54C75" w:rsidRDefault="00BF4E4E" w:rsidP="00BF4E4E">
                  <w:pPr>
                    <w:pStyle w:val="Corps"/>
                    <w:numPr>
                      <w:ilvl w:val="0"/>
                      <w:numId w:val="5"/>
                    </w:numPr>
                    <w:rPr>
                      <w:rFonts w:asciiTheme="minorHAnsi" w:eastAsia="Calibri" w:hAnsiTheme="minorHAnsi" w:cstheme="majorBidi"/>
                      <w:color w:val="FF0000"/>
                      <w:u w:color="000000"/>
                    </w:rPr>
                  </w:pPr>
                  <w:r w:rsidRPr="00E54C75">
                    <w:rPr>
                      <w:rFonts w:asciiTheme="minorHAnsi" w:eastAsia="Calibri" w:hAnsiTheme="minorHAnsi" w:cstheme="majorBidi"/>
                      <w:color w:val="FF0000"/>
                      <w:u w:color="FF0000"/>
                    </w:rPr>
                    <w:t>on peut envisager une thérapie génique visant à remplacer l’allèle muté dans les cellules du tissu atteint</w:t>
                  </w:r>
                </w:p>
                <w:p w:rsidR="00BF4E4E" w:rsidRPr="00E54C75" w:rsidRDefault="00BF4E4E" w:rsidP="00BF4E4E">
                  <w:pPr>
                    <w:pStyle w:val="Corps"/>
                    <w:numPr>
                      <w:ilvl w:val="0"/>
                      <w:numId w:val="6"/>
                    </w:numPr>
                    <w:jc w:val="both"/>
                    <w:rPr>
                      <w:rFonts w:asciiTheme="minorHAnsi" w:hAnsiTheme="minorHAnsi" w:cstheme="majorBidi"/>
                      <w:color w:val="FF0000"/>
                    </w:rPr>
                  </w:pPr>
                  <w:r w:rsidRPr="00E54C75">
                    <w:rPr>
                      <w:rFonts w:asciiTheme="minorHAnsi" w:hAnsiTheme="minorHAnsi" w:cstheme="majorBidi"/>
                      <w:color w:val="FF0000"/>
                    </w:rPr>
                    <w:t xml:space="preserve">les cas, les traitements apportés visent à compenser par des médicaments la fonction altérée ou à contrôler les conditions de milieu. </w:t>
                  </w:r>
                </w:p>
                <w:p w:rsidR="00BF4E4E" w:rsidRPr="004D056F" w:rsidRDefault="00BF4E4E" w:rsidP="00BF4E4E">
                  <w:pPr>
                    <w:pStyle w:val="Corps"/>
                    <w:spacing w:before="120"/>
                    <w:rPr>
                      <w:rFonts w:asciiTheme="minorHAnsi" w:hAnsiTheme="minorHAnsi" w:cstheme="majorBidi"/>
                      <w:color w:val="FF0000"/>
                      <w:u w:color="FF0000"/>
                    </w:rPr>
                  </w:pPr>
                  <w:r w:rsidRPr="004D056F">
                    <w:rPr>
                      <w:rFonts w:asciiTheme="minorHAnsi" w:hAnsiTheme="minorHAnsi" w:cstheme="majorBidi"/>
                      <w:b/>
                      <w:bCs/>
                      <w:color w:val="FF0000"/>
                      <w:u w:color="FF0000"/>
                    </w:rPr>
                    <w:t>Nouveautés en termes de capacités</w:t>
                  </w:r>
                  <w:r w:rsidRPr="004D056F">
                    <w:rPr>
                      <w:rFonts w:asciiTheme="minorHAnsi" w:hAnsiTheme="minorHAnsi" w:cstheme="majorBidi"/>
                      <w:color w:val="FF0000"/>
                      <w:u w:color="FF0000"/>
                    </w:rPr>
                    <w:t xml:space="preserve"> : </w:t>
                  </w:r>
                </w:p>
                <w:p w:rsidR="00BF4E4E" w:rsidRPr="00E54C75" w:rsidRDefault="00BF4E4E" w:rsidP="00BF4E4E">
                  <w:pPr>
                    <w:pStyle w:val="Corps"/>
                    <w:numPr>
                      <w:ilvl w:val="0"/>
                      <w:numId w:val="6"/>
                    </w:numPr>
                    <w:jc w:val="both"/>
                    <w:rPr>
                      <w:rFonts w:asciiTheme="minorHAnsi" w:hAnsiTheme="minorHAnsi" w:cstheme="majorBidi"/>
                      <w:color w:val="FF0000"/>
                      <w:highlight w:val="yellow"/>
                    </w:rPr>
                  </w:pPr>
                  <w:r w:rsidRPr="00E54C75">
                    <w:rPr>
                      <w:rFonts w:asciiTheme="minorHAnsi" w:hAnsiTheme="minorHAnsi" w:cstheme="majorBidi"/>
                      <w:color w:val="FF0000"/>
                    </w:rPr>
                    <w:t xml:space="preserve">Recenser, extraire et organiser des informations relatives aux traitements médicaux envisageables en fonction de la </w:t>
                  </w:r>
                  <w:r w:rsidRPr="00E54C75">
                    <w:rPr>
                      <w:rFonts w:asciiTheme="minorHAnsi" w:hAnsiTheme="minorHAnsi" w:cstheme="majorBidi"/>
                      <w:color w:val="FF0000"/>
                      <w:highlight w:val="yellow"/>
                    </w:rPr>
                    <w:t xml:space="preserve">variété des manifestations pathologiques observées (tissus affectés, âge moyen d’apparition des symptômes, sévérité du syndrome, etc.) </w:t>
                  </w:r>
                </w:p>
                <w:p w:rsidR="00BF4E4E" w:rsidRPr="004D056F" w:rsidRDefault="00BF4E4E" w:rsidP="00BF4E4E">
                  <w:pPr>
                    <w:pStyle w:val="Corps"/>
                    <w:spacing w:before="120"/>
                    <w:rPr>
                      <w:rFonts w:asciiTheme="minorHAnsi" w:hAnsiTheme="minorHAnsi" w:cstheme="majorBidi"/>
                      <w:color w:val="7030A0"/>
                      <w:u w:color="7030A0"/>
                    </w:rPr>
                  </w:pPr>
                  <w:r w:rsidRPr="004D056F">
                    <w:rPr>
                      <w:rFonts w:asciiTheme="minorHAnsi" w:hAnsiTheme="minorHAnsi" w:cstheme="majorBidi"/>
                      <w:color w:val="7030A0"/>
                      <w:u w:color="7030A0"/>
                    </w:rPr>
                    <w:t xml:space="preserve">Utilisation du numérique : </w:t>
                  </w:r>
                </w:p>
                <w:p w:rsidR="00BF4E4E" w:rsidRPr="004D056F" w:rsidRDefault="00BF4E4E" w:rsidP="00BF4E4E">
                  <w:pPr>
                    <w:pStyle w:val="Corps"/>
                    <w:numPr>
                      <w:ilvl w:val="0"/>
                      <w:numId w:val="6"/>
                    </w:numPr>
                    <w:jc w:val="both"/>
                    <w:rPr>
                      <w:rFonts w:asciiTheme="minorHAnsi" w:hAnsiTheme="minorHAnsi" w:cstheme="majorBidi"/>
                      <w:color w:val="521B92"/>
                    </w:rPr>
                  </w:pPr>
                  <w:r w:rsidRPr="004D056F">
                    <w:rPr>
                      <w:rFonts w:asciiTheme="minorHAnsi" w:hAnsiTheme="minorHAnsi" w:cstheme="majorBidi"/>
                      <w:color w:val="521B92"/>
                      <w:u w:color="7030A0"/>
                    </w:rPr>
                    <w:t>Étude de la transmission d’une maladie génétique au sein d’une famille (ANAGENE: gène CFTR: mucoviscidose, drépanocytose, thalassémies)</w:t>
                  </w:r>
                </w:p>
                <w:p w:rsidR="00BF4E4E" w:rsidRPr="004D056F" w:rsidRDefault="00BF4E4E" w:rsidP="00BF4E4E">
                  <w:pPr>
                    <w:pStyle w:val="Corps"/>
                    <w:numPr>
                      <w:ilvl w:val="0"/>
                      <w:numId w:val="6"/>
                    </w:numPr>
                    <w:jc w:val="both"/>
                    <w:rPr>
                      <w:rFonts w:asciiTheme="minorHAnsi" w:hAnsiTheme="minorHAnsi" w:cstheme="majorBidi"/>
                      <w:color w:val="521B92"/>
                      <w:u w:color="7030A0"/>
                    </w:rPr>
                  </w:pPr>
                  <w:r w:rsidRPr="004D056F">
                    <w:rPr>
                      <w:rFonts w:asciiTheme="minorHAnsi" w:hAnsiTheme="minorHAnsi" w:cstheme="majorBidi"/>
                      <w:color w:val="521B92"/>
                      <w:u w:color="7030A0"/>
                    </w:rPr>
                    <w:t>Modélisation (RASTOP)</w:t>
                  </w:r>
                </w:p>
                <w:p w:rsidR="00BF4E4E" w:rsidRPr="004D056F" w:rsidRDefault="00BF4E4E" w:rsidP="00BF4E4E">
                  <w:pPr>
                    <w:pStyle w:val="Corps"/>
                    <w:spacing w:before="120"/>
                    <w:rPr>
                      <w:rFonts w:asciiTheme="minorHAnsi" w:hAnsiTheme="minorHAnsi" w:cstheme="majorBidi"/>
                      <w:b/>
                    </w:rPr>
                  </w:pPr>
                  <w:r w:rsidRPr="004D056F">
                    <w:rPr>
                      <w:rFonts w:asciiTheme="minorHAnsi" w:hAnsiTheme="minorHAnsi" w:cstheme="majorBidi"/>
                      <w:b/>
                    </w:rPr>
                    <w:t xml:space="preserve">Ressources locales possibles : </w:t>
                  </w:r>
                </w:p>
                <w:p w:rsidR="00BF4E4E" w:rsidRPr="004D056F" w:rsidRDefault="00BF4E4E" w:rsidP="00BF4E4E">
                  <w:pPr>
                    <w:pStyle w:val="Corps"/>
                    <w:numPr>
                      <w:ilvl w:val="0"/>
                      <w:numId w:val="6"/>
                    </w:numPr>
                    <w:rPr>
                      <w:rFonts w:asciiTheme="minorHAnsi" w:hAnsiTheme="minorHAnsi" w:cstheme="majorBidi"/>
                    </w:rPr>
                  </w:pPr>
                  <w:r w:rsidRPr="004D056F">
                    <w:rPr>
                      <w:rFonts w:asciiTheme="minorHAnsi" w:hAnsiTheme="minorHAnsi" w:cstheme="majorBidi"/>
                    </w:rPr>
                    <w:t>Drépanocytose en Martinique (lames de frottis de sang, études épidémiologiques, électrophorèse de patients auprès des hôpitaux</w:t>
                  </w:r>
                </w:p>
                <w:p w:rsidR="00BF4E4E" w:rsidRPr="004D056F" w:rsidRDefault="00300EE3" w:rsidP="00BF4E4E">
                  <w:pPr>
                    <w:pStyle w:val="Sous-titre"/>
                    <w:rPr>
                      <w:rFonts w:asciiTheme="minorHAnsi" w:hAnsiTheme="minorHAnsi"/>
                      <w:sz w:val="22"/>
                      <w:szCs w:val="22"/>
                    </w:rPr>
                  </w:pPr>
                  <w:hyperlink r:id="rId7" w:history="1">
                    <w:r w:rsidR="00BF4E4E" w:rsidRPr="004D056F">
                      <w:rPr>
                        <w:rStyle w:val="Lienhypertexte"/>
                        <w:rFonts w:asciiTheme="minorHAnsi" w:hAnsiTheme="minorHAnsi"/>
                        <w:sz w:val="22"/>
                        <w:szCs w:val="22"/>
                      </w:rPr>
                      <w:t>http://www.chu-martinique.fr/education-therapeutique.html</w:t>
                    </w:r>
                  </w:hyperlink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28" type="#_x0000_t202" alt="Zone de texte 3" style="position:absolute;margin-left:32.05pt;margin-top:25.5pt;width:171.75pt;height:225.85pt;z-index:251660288;visibility:visible;mso-wrap-distance-left:0;mso-wrap-distance-right:0;mso-position-horizontal-relative:margin;mso-position-vertical-relative:line;mso-width-relative:margin;mso-height-relative:margin" o:regroupid="1" strokeweight=".5pt">
            <v:stroke joinstyle="round"/>
            <v:textbox style="mso-next-textbox:#_x0000_s1028" inset="3.6pt,,3.6pt">
              <w:txbxContent>
                <w:p w:rsidR="00BF4E4E" w:rsidRPr="00911EF3" w:rsidRDefault="00BF4E4E" w:rsidP="00BF4E4E">
                  <w:pPr>
                    <w:pStyle w:val="Corps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</w:tabs>
                    <w:jc w:val="center"/>
                    <w:rPr>
                      <w:rFonts w:asciiTheme="minorHAnsi" w:eastAsia="Arial" w:hAnsiTheme="minorHAnsi" w:cstheme="majorBidi"/>
                      <w:b/>
                      <w:bCs/>
                      <w:u w:color="000000"/>
                    </w:rPr>
                  </w:pPr>
                  <w:r w:rsidRPr="00911EF3">
                    <w:rPr>
                      <w:rFonts w:asciiTheme="minorHAnsi" w:hAnsiTheme="minorHAnsi" w:cstheme="majorBidi"/>
                      <w:b/>
                      <w:bCs/>
                      <w:u w:color="000000"/>
                    </w:rPr>
                    <w:t>Orientations générales du thème données dans le préambule</w:t>
                  </w:r>
                </w:p>
                <w:p w:rsidR="00BF4E4E" w:rsidRPr="00911EF3" w:rsidRDefault="00BF4E4E" w:rsidP="00BF4E4E">
                  <w:pPr>
                    <w:pStyle w:val="Corps"/>
                    <w:numPr>
                      <w:ilvl w:val="0"/>
                      <w:numId w:val="1"/>
                    </w:numPr>
                    <w:jc w:val="both"/>
                    <w:rPr>
                      <w:rFonts w:asciiTheme="minorHAnsi" w:hAnsiTheme="minorHAnsi" w:cstheme="majorBidi"/>
                      <w:color w:val="008F51"/>
                      <w:u w:color="000000"/>
                    </w:rPr>
                  </w:pPr>
                  <w:r w:rsidRPr="00911EF3">
                    <w:rPr>
                      <w:rFonts w:asciiTheme="minorHAnsi" w:hAnsiTheme="minorHAnsi" w:cstheme="majorBidi"/>
                      <w:color w:val="008F51"/>
                      <w:u w:color="000000"/>
                    </w:rPr>
                    <w:t>mieux appréhender le fonctionnement de son organisme</w:t>
                  </w:r>
                </w:p>
                <w:p w:rsidR="00BF4E4E" w:rsidRPr="00911EF3" w:rsidRDefault="00BF4E4E" w:rsidP="00BF4E4E">
                  <w:pPr>
                    <w:pStyle w:val="Corps"/>
                    <w:numPr>
                      <w:ilvl w:val="0"/>
                      <w:numId w:val="1"/>
                    </w:numPr>
                    <w:jc w:val="both"/>
                    <w:rPr>
                      <w:rFonts w:asciiTheme="minorHAnsi" w:eastAsia="Calibri" w:hAnsiTheme="minorHAnsi" w:cstheme="majorBidi"/>
                      <w:color w:val="008F51"/>
                      <w:u w:color="000000"/>
                    </w:rPr>
                  </w:pPr>
                  <w:r w:rsidRPr="00911EF3">
                    <w:rPr>
                      <w:rFonts w:asciiTheme="minorHAnsi" w:eastAsia="Calibri" w:hAnsiTheme="minorHAnsi" w:cstheme="majorBidi"/>
                      <w:color w:val="008F51"/>
                      <w:u w:color="000000"/>
                    </w:rPr>
                    <w:t xml:space="preserve">définir la santé dans une approche globale intégrant l’individu dans son environnement, prendre en compte les enjeux de santé publique. </w:t>
                  </w:r>
                </w:p>
                <w:p w:rsidR="00BF4E4E" w:rsidRPr="00911EF3" w:rsidRDefault="00BF4E4E" w:rsidP="00BF4E4E">
                  <w:pPr>
                    <w:pStyle w:val="Corps"/>
                    <w:numPr>
                      <w:ilvl w:val="0"/>
                      <w:numId w:val="2"/>
                    </w:numPr>
                    <w:jc w:val="both"/>
                    <w:rPr>
                      <w:rFonts w:asciiTheme="minorHAnsi" w:eastAsia="Calibri" w:hAnsiTheme="minorHAnsi" w:cstheme="majorBidi"/>
                      <w:color w:val="008F51"/>
                      <w:u w:color="000000"/>
                    </w:rPr>
                  </w:pPr>
                  <w:r w:rsidRPr="00911EF3">
                    <w:rPr>
                      <w:rFonts w:asciiTheme="minorHAnsi" w:eastAsia="Calibri" w:hAnsiTheme="minorHAnsi" w:cstheme="majorBidi"/>
                      <w:color w:val="008F51"/>
                      <w:u w:color="000000"/>
                    </w:rPr>
                    <w:t>découvrir les métiers liés aux sciences fondamentales et les métiers liés aux domaines de la santé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2" type="#_x0000_t202" style="position:absolute;margin-left:217.65pt;margin-top:350.65pt;width:552.2pt;height:162.35pt;z-index:251664384;visibility:visible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" fillcolor="white [3201]" strokeweight=".5pt">
            <v:textbox style="mso-next-textbox:#_x0000_s1032">
              <w:txbxContent>
                <w:p w:rsidR="00BF4E4E" w:rsidRPr="004D056F" w:rsidRDefault="00BF4E4E" w:rsidP="00335BD7">
                  <w:pPr>
                    <w:pStyle w:val="acquiscycle4"/>
                    <w:rPr>
                      <w:rFonts w:cstheme="majorBidi"/>
                    </w:rPr>
                  </w:pPr>
                  <w:r w:rsidRPr="004D056F">
                    <w:rPr>
                      <w:rFonts w:cstheme="majorBidi"/>
                      <w:b/>
                    </w:rPr>
                    <w:t>Acquis seconde :</w:t>
                  </w:r>
                  <w:r w:rsidR="00335BD7">
                    <w:rPr>
                      <w:rFonts w:cstheme="majorBidi"/>
                      <w:b/>
                    </w:rPr>
                    <w:t xml:space="preserve"> </w:t>
                  </w:r>
                  <w:r w:rsidRPr="00335BD7">
                    <w:rPr>
                      <w:rFonts w:cstheme="majorBidi"/>
                      <w:b/>
                      <w:bCs/>
                    </w:rPr>
                    <w:t>ADN ; gènes ; porteur sain</w:t>
                  </w:r>
                </w:p>
                <w:p w:rsidR="00BF4E4E" w:rsidRPr="00800490" w:rsidRDefault="00BF4E4E" w:rsidP="00BF4E4E">
                  <w:pPr>
                    <w:pStyle w:val="acquiscycle4"/>
                    <w:spacing w:before="120" w:after="120"/>
                    <w:jc w:val="both"/>
                    <w:rPr>
                      <w:b/>
                    </w:rPr>
                  </w:pPr>
                  <w:r w:rsidRPr="00B810D6">
                    <w:rPr>
                      <w:b/>
                    </w:rPr>
                    <w:t>Acquis du cycle 4</w:t>
                  </w:r>
                  <w:r w:rsidRPr="00800490">
                    <w:rPr>
                      <w:b/>
                    </w:rPr>
                    <w:t xml:space="preserve"> : </w:t>
                  </w:r>
                  <w:r w:rsidRPr="00946E6E">
                    <w:rPr>
                      <w:b/>
                    </w:rPr>
                    <w:t>Expliquer sur quoi reposent la diversité et la stabilité génétique des individus. Expliquer comment les phénotypes sont déterminés par les génotypes et par l’action de l’environnement.</w:t>
                  </w:r>
                  <w:r>
                    <w:rPr>
                      <w:b/>
                    </w:rPr>
                    <w:t xml:space="preserve"> </w:t>
                  </w:r>
                  <w:r w:rsidRPr="00946E6E">
                    <w:rPr>
                      <w:b/>
                    </w:rPr>
                    <w:t>Diversité génétique au sein d’une population ; héritabilité, stabilité des groupes. » ADN, mutations, brassage, gène, méiose et fécondatio</w:t>
                  </w:r>
                  <w:r>
                    <w:rPr>
                      <w:b/>
                    </w:rPr>
                    <w:t>n.</w:t>
                  </w:r>
                </w:p>
                <w:p w:rsidR="00BF4E4E" w:rsidRPr="004D056F" w:rsidRDefault="00BF4E4E" w:rsidP="00BF4E4E">
                  <w:pPr>
                    <w:pStyle w:val="lienseducations"/>
                    <w:rPr>
                      <w:rFonts w:cstheme="majorBidi"/>
                      <w:b/>
                    </w:rPr>
                  </w:pPr>
                  <w:r w:rsidRPr="004D056F">
                    <w:rPr>
                      <w:rFonts w:cstheme="majorBidi"/>
                      <w:b/>
                    </w:rPr>
                    <w:t>Lien avec les éducations à :</w:t>
                  </w:r>
                </w:p>
                <w:p w:rsidR="00BF4E4E" w:rsidRPr="004D056F" w:rsidRDefault="00BF4E4E" w:rsidP="00BF4E4E">
                  <w:pPr>
                    <w:pStyle w:val="lienseducations"/>
                    <w:rPr>
                      <w:rFonts w:cstheme="majorBidi"/>
                    </w:rPr>
                  </w:pPr>
                  <w:r w:rsidRPr="004D056F">
                    <w:rPr>
                      <w:rFonts w:cstheme="majorBidi"/>
                    </w:rPr>
                    <w:t>Santé : gestion de la maladie chez les adolescents</w:t>
                  </w:r>
                </w:p>
                <w:p w:rsidR="00BF4E4E" w:rsidRPr="004D056F" w:rsidRDefault="00BF4E4E" w:rsidP="00BF4E4E">
                  <w:pPr>
                    <w:pStyle w:val="lienseducations"/>
                    <w:rPr>
                      <w:rFonts w:cstheme="majorBidi"/>
                    </w:rPr>
                  </w:pPr>
                  <w:r w:rsidRPr="004D056F">
                    <w:rPr>
                      <w:rFonts w:cstheme="majorBidi"/>
                    </w:rPr>
                    <w:t xml:space="preserve">Citoyenneté : </w:t>
                  </w:r>
                </w:p>
                <w:p w:rsidR="00BF4E4E" w:rsidRPr="004D056F" w:rsidRDefault="00BF4E4E" w:rsidP="00335BD7">
                  <w:pPr>
                    <w:pStyle w:val="ouverturemetier"/>
                    <w:spacing w:before="120"/>
                    <w:rPr>
                      <w:rFonts w:cstheme="majorBidi"/>
                      <w:b/>
                      <w:sz w:val="24"/>
                    </w:rPr>
                  </w:pPr>
                  <w:r w:rsidRPr="004D056F">
                    <w:rPr>
                      <w:rFonts w:cstheme="majorBidi"/>
                      <w:b/>
                      <w:sz w:val="24"/>
                    </w:rPr>
                    <w:t>Ouverture métier : médecine, laboratoire, professionnels de santé</w:t>
                  </w:r>
                </w:p>
                <w:p w:rsidR="00BF4E4E" w:rsidRPr="004D056F" w:rsidRDefault="00BF4E4E" w:rsidP="00335BD7">
                  <w:pPr>
                    <w:pStyle w:val="lienressourceslithotheque"/>
                    <w:spacing w:before="120" w:after="120"/>
                    <w:rPr>
                      <w:rFonts w:cstheme="majorBidi"/>
                      <w:b/>
                    </w:rPr>
                  </w:pPr>
                  <w:r w:rsidRPr="004D056F">
                    <w:rPr>
                      <w:rFonts w:cstheme="majorBidi"/>
                      <w:b/>
                    </w:rPr>
                    <w:t xml:space="preserve">Lien avec ressources </w:t>
                  </w:r>
                  <w:proofErr w:type="spellStart"/>
                  <w:r w:rsidRPr="004D056F">
                    <w:rPr>
                      <w:rFonts w:cstheme="majorBidi"/>
                      <w:b/>
                    </w:rPr>
                    <w:t>lithothèque</w:t>
                  </w:r>
                  <w:proofErr w:type="spellEnd"/>
                </w:p>
                <w:p w:rsidR="00BF4E4E" w:rsidRPr="004D056F" w:rsidRDefault="00BF4E4E" w:rsidP="00BF4E4E">
                  <w:pPr>
                    <w:pStyle w:val="lienressourceslithotheque"/>
                    <w:rPr>
                      <w:rFonts w:cstheme="majorBidi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33" style="position:absolute;margin-left:213.7pt;margin-top:19.45pt;width:560.15pt;height:501.4pt;z-index:251665408" o:regroupid="1" filled="f"/>
        </w:pict>
      </w:r>
      <w:r>
        <w:rPr>
          <w:noProof/>
        </w:rPr>
        <w:pict>
          <v:shape id="_x0000_s1031" type="#_x0000_t202" alt="Zone de texte 5" style="position:absolute;margin-left:-230.2pt;margin-top:254.6pt;width:487.5pt;height:29.25pt;rotation:-90;z-index:251663360;visibility:visible;mso-wrap-distance-left:0;mso-wrap-distance-right:0;mso-position-horizontal-relative:margin;mso-position-vertical-relative:line;mso-width-relative:margin;mso-height-relative:margin;v-text-anchor:midd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" filled="f" fillcolor="#c0504d [3205]" strokeweight=".5pt">
            <v:stroke joinstyle="round"/>
            <v:textbox style="layout-flow:vertical;mso-layout-flow-alt:bottom-to-top;mso-next-textbox:#_x0000_s1031" inset="3.6pt,,3.6pt">
              <w:txbxContent>
                <w:p w:rsidR="00BF4E4E" w:rsidRPr="00C048C9" w:rsidRDefault="00BF4E4E" w:rsidP="00BF4E4E">
                  <w:pPr>
                    <w:pStyle w:val="Pardfaut"/>
                    <w:jc w:val="center"/>
                    <w:rPr>
                      <w:rFonts w:asciiTheme="minorHAnsi" w:hAnsiTheme="minorHAnsi" w:cstheme="majorBidi"/>
                      <w:sz w:val="28"/>
                      <w:szCs w:val="28"/>
                    </w:rPr>
                  </w:pPr>
                  <w:r w:rsidRPr="00C048C9">
                    <w:rPr>
                      <w:rFonts w:asciiTheme="minorHAnsi" w:hAnsiTheme="minorHAnsi" w:cstheme="majorBidi"/>
                      <w:color w:val="000000" w:themeColor="text1"/>
                      <w:sz w:val="28"/>
                      <w:szCs w:val="28"/>
                    </w:rPr>
                    <w:t>Variation génétique et santé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Zone de texte 6" o:spid="_x0000_s1030" type="#_x0000_t202" style="position:absolute;margin-left:-7.65pt;margin-top:-9.65pt;width:781.5pt;height:24pt;z-index:251662336;visibility:visible;mso-width-relative:margin;mso-height-relative:margin" o:regroupid="1" fillcolor="window" strokeweight=".5pt">
            <v:textbox style="mso-next-textbox:#Zone de texte 6">
              <w:txbxContent>
                <w:p w:rsidR="00BF4E4E" w:rsidRPr="004D056F" w:rsidRDefault="00BF4E4E" w:rsidP="00BF4E4E">
                  <w:pPr>
                    <w:shd w:val="clear" w:color="auto" w:fill="FFFFFF" w:themeFill="background1"/>
                    <w:jc w:val="center"/>
                    <w:rPr>
                      <w:b/>
                    </w:rPr>
                  </w:pPr>
                  <w:r w:rsidRPr="004D056F">
                    <w:rPr>
                      <w:b/>
                    </w:rPr>
                    <w:t xml:space="preserve">THEME n° </w:t>
                  </w:r>
                  <w:proofErr w:type="gramStart"/>
                  <w:r w:rsidRPr="004D056F">
                    <w:rPr>
                      <w:b/>
                    </w:rPr>
                    <w:t>3 .</w:t>
                  </w:r>
                  <w:proofErr w:type="gramEnd"/>
                  <w:r w:rsidRPr="004D056F">
                    <w:rPr>
                      <w:b/>
                    </w:rPr>
                    <w:t xml:space="preserve"> Corps humain et santé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alt="Zone de texte 4" style="position:absolute;margin-left:32.05pt;margin-top:281.7pt;width:171.75pt;height:231.3pt;z-index:251661312;visibility:visible;mso-wrap-distance-left:0;mso-wrap-distance-right:0;mso-position-horizontal-relative:margin;mso-position-vertical-relative:line;mso-width-relative:margin;mso-height-relative:margin" o:regroupid="1" strokeweight=".5pt">
            <v:stroke joinstyle="round"/>
            <v:textbox style="mso-next-textbox:#_x0000_s1029" inset="3.6pt,,3.6pt">
              <w:txbxContent>
                <w:p w:rsidR="00BF4E4E" w:rsidRPr="004D056F" w:rsidRDefault="00BF4E4E" w:rsidP="00BF4E4E">
                  <w:pPr>
                    <w:pStyle w:val="Corps"/>
                    <w:jc w:val="center"/>
                    <w:rPr>
                      <w:rFonts w:asciiTheme="minorHAnsi" w:hAnsiTheme="minorHAnsi" w:cstheme="majorBidi"/>
                      <w:b/>
                      <w:bCs/>
                    </w:rPr>
                  </w:pPr>
                  <w:r w:rsidRPr="004D056F">
                    <w:rPr>
                      <w:rFonts w:asciiTheme="minorHAnsi" w:hAnsiTheme="minorHAnsi" w:cstheme="majorBidi"/>
                      <w:b/>
                      <w:bCs/>
                    </w:rPr>
                    <w:t>Points forts du paragraphe introductif</w:t>
                  </w:r>
                </w:p>
                <w:p w:rsidR="00BF4E4E" w:rsidRPr="004D056F" w:rsidRDefault="00BF4E4E" w:rsidP="00BF4E4E">
                  <w:pPr>
                    <w:pStyle w:val="Corps"/>
                    <w:numPr>
                      <w:ilvl w:val="0"/>
                      <w:numId w:val="3"/>
                    </w:numPr>
                    <w:jc w:val="both"/>
                    <w:rPr>
                      <w:rFonts w:asciiTheme="minorHAnsi" w:hAnsiTheme="minorHAnsi" w:cstheme="majorBidi"/>
                      <w:color w:val="0096FF"/>
                    </w:rPr>
                  </w:pPr>
                  <w:r w:rsidRPr="004D056F">
                    <w:rPr>
                      <w:rFonts w:asciiTheme="minorHAnsi" w:hAnsiTheme="minorHAnsi" w:cstheme="majorBidi"/>
                      <w:color w:val="0096FF"/>
                    </w:rPr>
                    <w:t>Les mutations conservées créent des différences au niveau des génomes des individus dans la population.</w:t>
                  </w:r>
                </w:p>
                <w:p w:rsidR="00BF4E4E" w:rsidRPr="004D056F" w:rsidRDefault="00BF4E4E" w:rsidP="00BF4E4E">
                  <w:pPr>
                    <w:pStyle w:val="Corps"/>
                    <w:numPr>
                      <w:ilvl w:val="0"/>
                      <w:numId w:val="3"/>
                    </w:numPr>
                    <w:jc w:val="both"/>
                    <w:rPr>
                      <w:rFonts w:asciiTheme="minorHAnsi" w:hAnsiTheme="minorHAnsi" w:cstheme="majorBidi"/>
                      <w:color w:val="0096FF"/>
                    </w:rPr>
                  </w:pPr>
                  <w:r w:rsidRPr="004D056F">
                    <w:rPr>
                      <w:rFonts w:asciiTheme="minorHAnsi" w:hAnsiTheme="minorHAnsi" w:cstheme="majorBidi"/>
                      <w:color w:val="0096FF"/>
                    </w:rPr>
                    <w:t>Conséquences des différences génomiques en matière de santé:</w:t>
                  </w:r>
                </w:p>
                <w:p w:rsidR="00BF4E4E" w:rsidRPr="004D056F" w:rsidRDefault="00BF4E4E" w:rsidP="00BF4E4E">
                  <w:pPr>
                    <w:pStyle w:val="Corps"/>
                    <w:numPr>
                      <w:ilvl w:val="1"/>
                      <w:numId w:val="4"/>
                    </w:numPr>
                    <w:rPr>
                      <w:rFonts w:asciiTheme="minorHAnsi" w:hAnsiTheme="minorHAnsi" w:cstheme="majorBidi"/>
                      <w:color w:val="0096FF"/>
                    </w:rPr>
                  </w:pPr>
                  <w:r w:rsidRPr="004D056F">
                    <w:rPr>
                      <w:rFonts w:asciiTheme="minorHAnsi" w:hAnsiTheme="minorHAnsi" w:cstheme="majorBidi"/>
                      <w:color w:val="0096FF"/>
                    </w:rPr>
                    <w:t>prédisposition à certains types de pathologies</w:t>
                  </w:r>
                </w:p>
                <w:p w:rsidR="00BF4E4E" w:rsidRPr="004D056F" w:rsidRDefault="00BF4E4E" w:rsidP="00BF4E4E">
                  <w:pPr>
                    <w:pStyle w:val="Corps"/>
                    <w:numPr>
                      <w:ilvl w:val="1"/>
                      <w:numId w:val="4"/>
                    </w:numPr>
                    <w:rPr>
                      <w:rFonts w:asciiTheme="minorHAnsi" w:hAnsiTheme="minorHAnsi" w:cstheme="majorBidi"/>
                      <w:color w:val="0096FF"/>
                      <w:lang w:val="it-IT"/>
                    </w:rPr>
                  </w:pPr>
                  <w:proofErr w:type="spellStart"/>
                  <w:proofErr w:type="gramStart"/>
                  <w:r w:rsidRPr="004D056F">
                    <w:rPr>
                      <w:rFonts w:asciiTheme="minorHAnsi" w:hAnsiTheme="minorHAnsi" w:cstheme="majorBidi"/>
                      <w:color w:val="0096FF"/>
                      <w:lang w:val="it-IT"/>
                    </w:rPr>
                    <w:t>sensibilit</w:t>
                  </w:r>
                  <w:proofErr w:type="spellEnd"/>
                  <w:r w:rsidRPr="004D056F">
                    <w:rPr>
                      <w:rFonts w:asciiTheme="minorHAnsi" w:hAnsiTheme="minorHAnsi" w:cstheme="majorBidi"/>
                      <w:color w:val="0096FF"/>
                    </w:rPr>
                    <w:t>é</w:t>
                  </w:r>
                  <w:proofErr w:type="gramEnd"/>
                  <w:r w:rsidRPr="004D056F">
                    <w:rPr>
                      <w:rFonts w:asciiTheme="minorHAnsi" w:hAnsiTheme="minorHAnsi" w:cstheme="majorBidi"/>
                      <w:color w:val="0096FF"/>
                    </w:rPr>
                    <w:t xml:space="preserve"> </w:t>
                  </w:r>
                  <w:r w:rsidRPr="004D056F">
                    <w:rPr>
                      <w:rFonts w:asciiTheme="minorHAnsi" w:hAnsiTheme="minorHAnsi" w:cstheme="majorBidi"/>
                      <w:color w:val="0096FF"/>
                      <w:lang w:val="en-US"/>
                    </w:rPr>
                    <w:t>diff</w:t>
                  </w:r>
                  <w:proofErr w:type="spellStart"/>
                  <w:r w:rsidRPr="004D056F">
                    <w:rPr>
                      <w:rFonts w:asciiTheme="minorHAnsi" w:hAnsiTheme="minorHAnsi" w:cstheme="majorBidi"/>
                      <w:color w:val="0096FF"/>
                    </w:rPr>
                    <w:t>érente</w:t>
                  </w:r>
                  <w:proofErr w:type="spellEnd"/>
                  <w:r w:rsidRPr="004D056F">
                    <w:rPr>
                      <w:rFonts w:asciiTheme="minorHAnsi" w:hAnsiTheme="minorHAnsi" w:cstheme="majorBidi"/>
                      <w:color w:val="0096FF"/>
                    </w:rPr>
                    <w:t xml:space="preserve"> aux agents pathogènes </w:t>
                  </w:r>
                </w:p>
                <w:p w:rsidR="00BF4E4E" w:rsidRPr="004D056F" w:rsidRDefault="00BF4E4E" w:rsidP="00BF4E4E">
                  <w:pPr>
                    <w:pStyle w:val="Corps"/>
                    <w:numPr>
                      <w:ilvl w:val="0"/>
                      <w:numId w:val="3"/>
                    </w:numPr>
                    <w:jc w:val="both"/>
                    <w:rPr>
                      <w:rFonts w:asciiTheme="minorHAnsi" w:hAnsiTheme="minorHAnsi" w:cstheme="majorBidi"/>
                    </w:rPr>
                  </w:pPr>
                  <w:r w:rsidRPr="004D056F">
                    <w:rPr>
                      <w:rFonts w:asciiTheme="minorHAnsi" w:hAnsiTheme="minorHAnsi" w:cstheme="majorBidi"/>
                      <w:color w:val="0096FF"/>
                    </w:rPr>
                    <w:t>Le développement de la génomique conduit à l’idée d’une médecine personnalisée et ouvre la voie à la thérapie génique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rect id="_x0000_s1027" alt="Zone de texte 7" style="position:absolute;margin-left:-7.65pt;margin-top:19.45pt;width:217.35pt;height:501.4pt;z-index:251659264;visibility:visible;mso-wrap-distance-left:0;mso-wrap-distance-right:0;mso-position-horizontal-relative:margin;mso-position-vertical-relative:line;mso-width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" strokeweight=".5pt">
            <v:stroke joinstyle="round"/>
            <w10:wrap anchorx="margin"/>
          </v:rect>
        </w:pict>
      </w:r>
    </w:p>
    <w:sectPr w:rsidR="002F60D5" w:rsidSect="00BF4E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FC4" w:rsidRDefault="007B5FC4" w:rsidP="00335BD7">
      <w:pPr>
        <w:spacing w:after="0" w:line="240" w:lineRule="auto"/>
      </w:pPr>
      <w:r>
        <w:separator/>
      </w:r>
    </w:p>
  </w:endnote>
  <w:endnote w:type="continuationSeparator" w:id="0">
    <w:p w:rsidR="007B5FC4" w:rsidRDefault="007B5FC4" w:rsidP="00335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FC4" w:rsidRDefault="007B5FC4" w:rsidP="00335BD7">
      <w:pPr>
        <w:spacing w:after="0" w:line="240" w:lineRule="auto"/>
      </w:pPr>
      <w:r>
        <w:separator/>
      </w:r>
    </w:p>
  </w:footnote>
  <w:footnote w:type="continuationSeparator" w:id="0">
    <w:p w:rsidR="007B5FC4" w:rsidRDefault="007B5FC4" w:rsidP="00335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42pt;height:45pt;visibility:visible" o:bullet="t">
        <v:imagedata r:id="rId1" o:title="hardcover_bullet_black"/>
      </v:shape>
    </w:pict>
  </w:numPicBullet>
  <w:abstractNum w:abstractNumId="0">
    <w:nsid w:val="019E26B5"/>
    <w:multiLevelType w:val="hybridMultilevel"/>
    <w:tmpl w:val="5906B350"/>
    <w:lvl w:ilvl="0" w:tplc="B4D6196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847621D4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24E8629C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70FAB062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49385F36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392CD4B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9D88F676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BC32689E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F7EEFD4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">
    <w:nsid w:val="22986B65"/>
    <w:multiLevelType w:val="hybridMultilevel"/>
    <w:tmpl w:val="B3BCB2AE"/>
    <w:lvl w:ilvl="0" w:tplc="2A2E866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90E4F50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82BA8E26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B378B53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F5D8F57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CAFA62EC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5D9CB6F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49A4AB9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C2A4BF1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">
    <w:nsid w:val="28A56A57"/>
    <w:multiLevelType w:val="hybridMultilevel"/>
    <w:tmpl w:val="CCEE70DC"/>
    <w:lvl w:ilvl="0" w:tplc="29D42C2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9F76F53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AA46F278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A798E96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4D86611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40268736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</w:tabs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C8EECF4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073E502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8DCC63D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</w:tabs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3">
    <w:nsid w:val="586B3B8F"/>
    <w:multiLevelType w:val="hybridMultilevel"/>
    <w:tmpl w:val="3538FF78"/>
    <w:lvl w:ilvl="0" w:tplc="3CF27BF6">
      <w:start w:val="1"/>
      <w:numFmt w:val="bullet"/>
      <w:lvlText w:val="•"/>
      <w:lvlPicBulletId w:val="0"/>
      <w:lvlJc w:val="left"/>
      <w:pPr>
        <w:ind w:left="17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1" w:tplc="29866CEA">
      <w:start w:val="1"/>
      <w:numFmt w:val="bullet"/>
      <w:lvlText w:val="•"/>
      <w:lvlPicBulletId w:val="0"/>
      <w:lvlJc w:val="left"/>
      <w:pPr>
        <w:ind w:left="3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2" w:tplc="BD482722">
      <w:start w:val="1"/>
      <w:numFmt w:val="bullet"/>
      <w:lvlText w:val="•"/>
      <w:lvlPicBulletId w:val="0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3" w:tplc="BE1EFACC">
      <w:start w:val="1"/>
      <w:numFmt w:val="bullet"/>
      <w:lvlText w:val="•"/>
      <w:lvlPicBulletId w:val="0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4" w:tplc="E93647B6">
      <w:start w:val="1"/>
      <w:numFmt w:val="bullet"/>
      <w:lvlText w:val="•"/>
      <w:lvlPicBulletId w:val="0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5" w:tplc="8574180C">
      <w:start w:val="1"/>
      <w:numFmt w:val="bullet"/>
      <w:lvlText w:val="•"/>
      <w:lvlPicBulletId w:val="0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6" w:tplc="D0085DDC">
      <w:start w:val="1"/>
      <w:numFmt w:val="bullet"/>
      <w:lvlText w:val="•"/>
      <w:lvlPicBulletId w:val="0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7" w:tplc="26AACDD6">
      <w:start w:val="1"/>
      <w:numFmt w:val="bullet"/>
      <w:lvlText w:val="•"/>
      <w:lvlPicBulletId w:val="0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8" w:tplc="1C7643D0">
      <w:start w:val="1"/>
      <w:numFmt w:val="bullet"/>
      <w:lvlText w:val="•"/>
      <w:lvlPicBulletId w:val="0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</w:abstractNum>
  <w:num w:numId="1">
    <w:abstractNumId w:val="2"/>
  </w:num>
  <w:num w:numId="2">
    <w:abstractNumId w:val="2"/>
    <w:lvlOverride w:ilvl="0">
      <w:lvl w:ilvl="0" w:tplc="29D42C2A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</w:tabs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9F76F53C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</w:tabs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 w:tplc="AA46F278">
        <w:start w:val="1"/>
        <w:numFmt w:val="bullet"/>
        <w:lvlText w:val="-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</w:tabs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A798E96A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</w:tabs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 w:tplc="4D86611E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</w:tabs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40268736">
        <w:start w:val="1"/>
        <w:numFmt w:val="bullet"/>
        <w:lvlText w:val="-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</w:tabs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 w:tplc="C8EECF44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</w:tabs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073E5028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</w:tabs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 w:tplc="8DCC63DE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</w:tabs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"/>
    <w:lvlOverride w:ilvl="0">
      <w:lvl w:ilvl="0" w:tplc="2A2E866E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90E4F500">
        <w:start w:val="1"/>
        <w:numFmt w:val="bullet"/>
        <w:lvlText w:val="-"/>
        <w:lvlJc w:val="left"/>
        <w:pPr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 w:tplc="82BA8E26">
        <w:start w:val="1"/>
        <w:numFmt w:val="bullet"/>
        <w:lvlText w:val="-"/>
        <w:lvlJc w:val="left"/>
        <w:pPr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B378B53A">
        <w:start w:val="1"/>
        <w:numFmt w:val="bullet"/>
        <w:lvlText w:val="-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 w:tplc="F5D8F57A">
        <w:start w:val="1"/>
        <w:numFmt w:val="bullet"/>
        <w:lvlText w:val="-"/>
        <w:lvlJc w:val="left"/>
        <w:pPr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CAFA62EC">
        <w:start w:val="1"/>
        <w:numFmt w:val="bullet"/>
        <w:lvlText w:val="-"/>
        <w:lvlJc w:val="left"/>
        <w:pPr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 w:tplc="5D9CB6F4">
        <w:start w:val="1"/>
        <w:numFmt w:val="bullet"/>
        <w:lvlText w:val="-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49A4AB9A">
        <w:start w:val="1"/>
        <w:numFmt w:val="bullet"/>
        <w:lvlText w:val="-"/>
        <w:lvlJc w:val="left"/>
        <w:pPr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 w:tplc="C2A4BF1E">
        <w:start w:val="1"/>
        <w:numFmt w:val="bullet"/>
        <w:lvlText w:val="-"/>
        <w:lvlJc w:val="left"/>
        <w:pPr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F4E4E"/>
    <w:rsid w:val="00117AB3"/>
    <w:rsid w:val="001A2E6F"/>
    <w:rsid w:val="00202503"/>
    <w:rsid w:val="00300EE3"/>
    <w:rsid w:val="00324552"/>
    <w:rsid w:val="00335BD7"/>
    <w:rsid w:val="00363D84"/>
    <w:rsid w:val="003A1EC4"/>
    <w:rsid w:val="003C3F39"/>
    <w:rsid w:val="003C75C0"/>
    <w:rsid w:val="00421AE7"/>
    <w:rsid w:val="004D245F"/>
    <w:rsid w:val="0050438C"/>
    <w:rsid w:val="005573A4"/>
    <w:rsid w:val="005A05CE"/>
    <w:rsid w:val="00602BD6"/>
    <w:rsid w:val="00652269"/>
    <w:rsid w:val="00663F7B"/>
    <w:rsid w:val="006E4482"/>
    <w:rsid w:val="006F39C3"/>
    <w:rsid w:val="007412C5"/>
    <w:rsid w:val="00792122"/>
    <w:rsid w:val="007A3931"/>
    <w:rsid w:val="007A5324"/>
    <w:rsid w:val="007B5FC4"/>
    <w:rsid w:val="00833E6D"/>
    <w:rsid w:val="008F65DC"/>
    <w:rsid w:val="00911EF3"/>
    <w:rsid w:val="00926BE3"/>
    <w:rsid w:val="00942CE1"/>
    <w:rsid w:val="009561BD"/>
    <w:rsid w:val="009A6E94"/>
    <w:rsid w:val="009E1614"/>
    <w:rsid w:val="009E4E50"/>
    <w:rsid w:val="00A21DF6"/>
    <w:rsid w:val="00A96059"/>
    <w:rsid w:val="00AC05DE"/>
    <w:rsid w:val="00B17075"/>
    <w:rsid w:val="00B810D6"/>
    <w:rsid w:val="00BC621B"/>
    <w:rsid w:val="00BE3378"/>
    <w:rsid w:val="00BF4E4E"/>
    <w:rsid w:val="00C1138C"/>
    <w:rsid w:val="00C529FC"/>
    <w:rsid w:val="00C75E8D"/>
    <w:rsid w:val="00C774DA"/>
    <w:rsid w:val="00CA5D19"/>
    <w:rsid w:val="00D52DD8"/>
    <w:rsid w:val="00D91B70"/>
    <w:rsid w:val="00DC5BFD"/>
    <w:rsid w:val="00DE454E"/>
    <w:rsid w:val="00E3677C"/>
    <w:rsid w:val="00E54C75"/>
    <w:rsid w:val="00E56643"/>
    <w:rsid w:val="00E8244B"/>
    <w:rsid w:val="00F13A64"/>
    <w:rsid w:val="00F56317"/>
    <w:rsid w:val="00F73B41"/>
    <w:rsid w:val="00FD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4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next w:val="Sous-titre"/>
    <w:rsid w:val="00BF4E4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fr-FR" w:bidi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F4E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F4E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ardfaut">
    <w:name w:val="Par défaut"/>
    <w:rsid w:val="00BF4E4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fr-FR" w:bidi="ar-SA"/>
    </w:rPr>
  </w:style>
  <w:style w:type="paragraph" w:customStyle="1" w:styleId="acquiscycle4">
    <w:name w:val="acquis_cycle4"/>
    <w:qFormat/>
    <w:rsid w:val="00BF4E4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Cs w:val="24"/>
      <w:lang w:eastAsia="en-US" w:bidi="ar-SA"/>
    </w:rPr>
  </w:style>
  <w:style w:type="paragraph" w:customStyle="1" w:styleId="lienseducations">
    <w:name w:val="liens_educations_à"/>
    <w:qFormat/>
    <w:rsid w:val="00BF4E4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color w:val="00B050"/>
      <w:sz w:val="24"/>
      <w:szCs w:val="24"/>
      <w:lang w:eastAsia="en-US" w:bidi="ar-SA"/>
    </w:rPr>
  </w:style>
  <w:style w:type="paragraph" w:customStyle="1" w:styleId="ouverturemetier">
    <w:name w:val="ouverture_metier"/>
    <w:basedOn w:val="Normal"/>
    <w:qFormat/>
    <w:rsid w:val="00BF4E4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color w:val="FFC000"/>
      <w:szCs w:val="24"/>
      <w:lang w:eastAsia="en-US" w:bidi="ar-SA"/>
    </w:rPr>
  </w:style>
  <w:style w:type="paragraph" w:customStyle="1" w:styleId="lienressourceslithotheque">
    <w:name w:val="lien_ressources_lithotheque"/>
    <w:qFormat/>
    <w:rsid w:val="00BF4E4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color w:val="C00000"/>
      <w:sz w:val="24"/>
      <w:szCs w:val="24"/>
      <w:lang w:eastAsia="en-US" w:bidi="ar-SA"/>
    </w:rPr>
  </w:style>
  <w:style w:type="character" w:styleId="Lienhypertexte">
    <w:name w:val="Hyperlink"/>
    <w:basedOn w:val="Policepardfaut"/>
    <w:uiPriority w:val="99"/>
    <w:semiHidden/>
    <w:unhideWhenUsed/>
    <w:rsid w:val="00BF4E4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335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35BD7"/>
  </w:style>
  <w:style w:type="paragraph" w:styleId="Pieddepage">
    <w:name w:val="footer"/>
    <w:basedOn w:val="Normal"/>
    <w:link w:val="PieddepageCar"/>
    <w:uiPriority w:val="99"/>
    <w:semiHidden/>
    <w:unhideWhenUsed/>
    <w:rsid w:val="00335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35B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u-martinique.fr/education-therapeutiqu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FRANCOISE</dc:creator>
  <cp:lastModifiedBy>FRANCOISE</cp:lastModifiedBy>
  <cp:revision>5</cp:revision>
  <dcterms:created xsi:type="dcterms:W3CDTF">2019-06-20T01:13:00Z</dcterms:created>
  <dcterms:modified xsi:type="dcterms:W3CDTF">2019-06-20T01:46:00Z</dcterms:modified>
</cp:coreProperties>
</file>