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34" w:rsidRDefault="003F3CE2">
      <w:pPr>
        <w:pStyle w:val="Corps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1.65pt;width:765pt;height:28.7pt;z-index:251666432;visibility:visible;mso-wrap-distance-left:0;mso-wrap-distance-right:0;mso-position-vertical-relative:line" strokeweight=".5pt">
            <v:stroke joinstyle="round"/>
            <v:textbox>
              <w:txbxContent>
                <w:p w:rsidR="003F3CE2" w:rsidRPr="001D2415" w:rsidRDefault="00D31516" w:rsidP="001D2415">
                  <w:pPr>
                    <w:jc w:val="center"/>
                    <w:rPr>
                      <w:lang w:val="fr-FR"/>
                    </w:rPr>
                  </w:pPr>
                  <w:r w:rsidRPr="001D2415">
                    <w:rPr>
                      <w:lang w:val="fr-FR"/>
                    </w:rPr>
                    <w:t>THEME 1 </w:t>
                  </w:r>
                  <w:proofErr w:type="gramStart"/>
                  <w:r w:rsidRPr="001D2415">
                    <w:rPr>
                      <w:lang w:val="fr-FR"/>
                    </w:rPr>
                    <w:t>:La</w:t>
                  </w:r>
                  <w:proofErr w:type="gramEnd"/>
                  <w:r w:rsidRPr="001D2415">
                    <w:rPr>
                      <w:lang w:val="fr-FR"/>
                    </w:rPr>
                    <w:t xml:space="preserve"> Terre, la vie et l’organisation du vivant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0;margin-top:2.7pt;width:222pt;height:490.5pt;z-index:251659264;visibility:visible;mso-wrap-distance-left:0;mso-wrap-distance-right:0;mso-position-vertical-relative:line" filled="f" strokeweight=".5pt">
            <v:stroke joinstyle="round"/>
          </v:rect>
        </w:pict>
      </w:r>
      <w:r>
        <w:rPr>
          <w:noProof/>
        </w:rPr>
        <w:pict>
          <v:shape id="_x0000_s1034" type="#_x0000_t202" alt="Zone de texte 8" style="position:absolute;margin-left:230.45pt;margin-top:8.3pt;width:530.1pt;height:252.3pt;z-index:25166233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" strokeweight=".5pt">
            <v:stroke joinstyle="round"/>
            <v:textbox inset="1.2699mm,1.2699mm,1.2699mm,1.2699mm">
              <w:txbxContent>
                <w:p w:rsidR="00E01A34" w:rsidRDefault="007709B2">
                  <w:pPr>
                    <w:pStyle w:val="Titre2"/>
                  </w:pPr>
                  <w:r>
                    <w:t>Titre du 2ème sous- chapitre :</w:t>
                  </w:r>
                  <w:r w:rsidR="00A05D3A">
                    <w:t xml:space="preserve"> </w:t>
                  </w:r>
                  <w:r>
                    <w:t xml:space="preserve">La réplication de l'ADN </w:t>
                  </w:r>
                </w:p>
                <w:p w:rsidR="00E01A34" w:rsidRDefault="007709B2">
                  <w:pPr>
                    <w:pStyle w:val="nouvconnaissancescapacits"/>
                    <w:spacing w:before="240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Nouveautés en termes de connaissance : fuseau mitotique/ notion de clone</w:t>
                  </w:r>
                  <w:r w:rsidR="00A05D3A">
                    <w:rPr>
                      <w:rStyle w:val="Aucune"/>
                      <w:b/>
                      <w:bCs/>
                    </w:rPr>
                    <w:t>/ADN polymérase/réplication semi-conservative</w:t>
                  </w:r>
                </w:p>
                <w:p w:rsidR="00E01A34" w:rsidRDefault="00E01A34">
                  <w:pPr>
                    <w:pStyle w:val="nouvconnaissancescapacits"/>
                  </w:pPr>
                </w:p>
                <w:p w:rsidR="00E01A34" w:rsidRDefault="007709B2">
                  <w:pPr>
                    <w:pStyle w:val="nouvconnaissancescapacits"/>
                    <w:spacing w:before="240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 xml:space="preserve">Nouveautés en termes de capacités : </w:t>
                  </w:r>
                </w:p>
                <w:p w:rsidR="00E01A34" w:rsidRDefault="007709B2">
                  <w:pPr>
                    <w:pStyle w:val="nouvconnaissancescapacits"/>
                    <w:rPr>
                      <w:rStyle w:val="Aucune"/>
                    </w:rPr>
                  </w:pPr>
                  <w:r>
                    <w:rPr>
                      <w:rStyle w:val="Aucune"/>
                    </w:rPr>
                    <w:t xml:space="preserve">Présenter une démarche historique sur l’identification ou la composition chimique des chromosomes. </w:t>
                  </w:r>
                  <w:r>
                    <w:rPr>
                      <w:rStyle w:val="Aucune"/>
                      <w:rFonts w:ascii="Arial Unicode MS" w:eastAsia="Arial Unicode MS" w:hAnsi="Arial Unicode MS" w:cs="Arial Unicode MS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Style w:val="Aucune"/>
                    </w:rPr>
                    <w:t>Calculer la longueur totale d’une molécule d’ADN dans un chromosome et de l’ensemble de l’ADN d’une cellule h</w:t>
                  </w:r>
                  <w:r>
                    <w:rPr>
                      <w:rStyle w:val="Aucune"/>
                    </w:rPr>
                    <w:t>u</w:t>
                  </w:r>
                  <w:r>
                    <w:rPr>
                      <w:rStyle w:val="Aucune"/>
                    </w:rPr>
                    <w:t xml:space="preserve">maine ; comparer avec le diamètre d’une cellule. Calculer la longueur d’ADN de l’ensemble des cellules humaines. </w:t>
                  </w:r>
                </w:p>
                <w:p w:rsidR="00E01A34" w:rsidRDefault="007709B2">
                  <w:pPr>
                    <w:pStyle w:val="nouvconnaissancescapacits"/>
                    <w:rPr>
                      <w:rStyle w:val="Aucune"/>
                    </w:rPr>
                  </w:pPr>
                  <w:r>
                    <w:rPr>
                      <w:rStyle w:val="Aucune"/>
                    </w:rPr>
                    <w:t>Concevoir et/ou réaliser une réaction de PCR déterminant la durée de chaque étape du cycle de PCR</w:t>
                  </w:r>
                  <w:proofErr w:type="gramStart"/>
                  <w:r>
                    <w:rPr>
                      <w:rStyle w:val="Aucune"/>
                    </w:rPr>
                    <w:t>..</w:t>
                  </w:r>
                  <w:proofErr w:type="gramEnd"/>
                  <w:r>
                    <w:rPr>
                      <w:rStyle w:val="Aucune"/>
                    </w:rPr>
                    <w:t xml:space="preserve"> </w:t>
                  </w:r>
                </w:p>
                <w:p w:rsidR="00E01A34" w:rsidRDefault="007709B2">
                  <w:pPr>
                    <w:pStyle w:val="Utilisationnumerique"/>
                    <w:spacing w:before="240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 xml:space="preserve">Utilisation du numérique : </w:t>
                  </w:r>
                </w:p>
                <w:p w:rsidR="009279B0" w:rsidRDefault="009279B0">
                  <w:pPr>
                    <w:pStyle w:val="Utilisationnumerique"/>
                    <w:spacing w:before="240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Logiciel ADN/ARN</w:t>
                  </w:r>
                </w:p>
                <w:p w:rsidR="00E01A34" w:rsidRDefault="007709B2">
                  <w:pPr>
                    <w:pStyle w:val="Ressourceslocalespossibles"/>
                    <w:spacing w:before="240"/>
                  </w:pPr>
                  <w:r>
                    <w:rPr>
                      <w:rStyle w:val="Aucune"/>
                      <w:b/>
                      <w:bCs/>
                    </w:rPr>
                    <w:t>Ressources locales possibles :</w:t>
                  </w:r>
                  <w:r w:rsidR="009279B0">
                    <w:rPr>
                      <w:rStyle w:val="Aucune"/>
                      <w:b/>
                      <w:bCs/>
                    </w:rPr>
                    <w:t xml:space="preserve"> CHU Martinique : PCR principe et visite sur place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16.8pt;margin-top:232.1pt;width:481.9pt;height:31.2pt;rotation:270;z-index:251663360;visibility:visible;mso-wrap-distance-left:0;mso-wrap-distance-right:0;mso-position-vertical-relative:line" strokeweight=".5pt">
            <v:stroke joinstyle="round"/>
            <v:textbox style="layout-flow:vertical;mso-layout-flow-alt:bottom-to-top">
              <w:txbxContent>
                <w:p w:rsidR="003F3CE2" w:rsidRPr="001D2415" w:rsidRDefault="00D31516" w:rsidP="001D2415">
                  <w:pPr>
                    <w:pStyle w:val="Sansinterligne"/>
                    <w:rPr>
                      <w:rFonts w:ascii="Calibri" w:hAnsi="Calibri"/>
                      <w:lang w:val="fr-FR"/>
                    </w:rPr>
                  </w:pPr>
                  <w:r w:rsidRPr="001D2415">
                    <w:rPr>
                      <w:rFonts w:ascii="Calibri" w:hAnsi="Calibri"/>
                      <w:lang w:val="fr-FR"/>
                    </w:rPr>
                    <w:t>T</w:t>
                  </w:r>
                  <w:r w:rsidRPr="001D2415">
                    <w:rPr>
                      <w:rFonts w:ascii="Calibri" w:hAnsi="Calibri"/>
                      <w:lang w:val="fr-FR"/>
                    </w:rPr>
                    <w:t>I</w:t>
                  </w:r>
                  <w:r w:rsidRPr="001D2415">
                    <w:rPr>
                      <w:rFonts w:ascii="Calibri" w:hAnsi="Calibri"/>
                      <w:lang w:val="fr-FR"/>
                    </w:rPr>
                    <w:t>TRE DU CHAPITRE </w:t>
                  </w:r>
                  <w:proofErr w:type="gramStart"/>
                  <w:r w:rsidRPr="001D2415">
                    <w:rPr>
                      <w:rFonts w:ascii="Calibri" w:hAnsi="Calibri"/>
                      <w:lang w:val="fr-FR"/>
                    </w:rPr>
                    <w:t>:Transmission</w:t>
                  </w:r>
                  <w:proofErr w:type="gramEnd"/>
                  <w:r w:rsidRPr="001D2415">
                    <w:rPr>
                      <w:rFonts w:ascii="Calibri" w:hAnsi="Calibri"/>
                      <w:lang w:val="fr-FR"/>
                    </w:rPr>
                    <w:t>, v</w:t>
                  </w:r>
                  <w:r w:rsidRPr="001D2415">
                    <w:rPr>
                      <w:rFonts w:ascii="Calibri" w:hAnsi="Calibri"/>
                      <w:lang w:val="fr-FR"/>
                    </w:rPr>
                    <w:t>ar</w:t>
                  </w:r>
                  <w:r w:rsidRPr="001D2415">
                    <w:rPr>
                      <w:rFonts w:ascii="Calibri" w:hAnsi="Calibri"/>
                      <w:lang w:val="fr-FR"/>
                    </w:rPr>
                    <w:t>i</w:t>
                  </w:r>
                  <w:r w:rsidRPr="001D2415">
                    <w:rPr>
                      <w:rFonts w:ascii="Calibri" w:hAnsi="Calibri"/>
                      <w:lang w:val="fr-FR"/>
                    </w:rPr>
                    <w:t>a</w:t>
                  </w:r>
                  <w:r w:rsidRPr="001D2415">
                    <w:rPr>
                      <w:rFonts w:ascii="Calibri" w:hAnsi="Calibri"/>
                      <w:lang w:val="fr-FR"/>
                    </w:rPr>
                    <w:t>tion et e</w:t>
                  </w:r>
                  <w:r w:rsidRPr="001D2415">
                    <w:rPr>
                      <w:rFonts w:ascii="Calibri" w:hAnsi="Calibri"/>
                      <w:lang w:val="fr-FR"/>
                    </w:rPr>
                    <w:t>x</w:t>
                  </w:r>
                  <w:r w:rsidRPr="001D2415">
                    <w:rPr>
                      <w:rFonts w:ascii="Calibri" w:hAnsi="Calibri"/>
                      <w:lang w:val="fr-FR"/>
                    </w:rPr>
                    <w:t>pression du p</w:t>
                  </w:r>
                  <w:r w:rsidRPr="001D2415">
                    <w:rPr>
                      <w:rFonts w:ascii="Calibri" w:hAnsi="Calibri"/>
                      <w:lang w:val="fr-FR"/>
                    </w:rPr>
                    <w:t>a</w:t>
                  </w:r>
                  <w:r w:rsidRPr="001D2415">
                    <w:rPr>
                      <w:rFonts w:ascii="Calibri" w:hAnsi="Calibri"/>
                      <w:lang w:val="fr-FR"/>
                    </w:rPr>
                    <w:t>tr</w:t>
                  </w:r>
                  <w:r w:rsidRPr="001D2415">
                    <w:rPr>
                      <w:rFonts w:ascii="Calibri" w:hAnsi="Calibri"/>
                      <w:lang w:val="fr-FR"/>
                    </w:rPr>
                    <w:t>i</w:t>
                  </w:r>
                  <w:r w:rsidRPr="001D2415">
                    <w:rPr>
                      <w:rFonts w:ascii="Calibri" w:hAnsi="Calibri"/>
                      <w:lang w:val="fr-FR"/>
                    </w:rPr>
                    <w:t>moine g</w:t>
                  </w:r>
                  <w:r w:rsidRPr="001D2415">
                    <w:rPr>
                      <w:rFonts w:ascii="Calibri" w:hAnsi="Calibri"/>
                      <w:lang w:val="fr-FR"/>
                    </w:rPr>
                    <w:t>é</w:t>
                  </w:r>
                  <w:r w:rsidRPr="001D2415">
                    <w:rPr>
                      <w:rFonts w:ascii="Calibri" w:hAnsi="Calibri"/>
                      <w:lang w:val="fr-FR"/>
                    </w:rPr>
                    <w:t>n</w:t>
                  </w:r>
                  <w:r w:rsidRPr="001D2415">
                    <w:rPr>
                      <w:rFonts w:ascii="Calibri" w:hAnsi="Calibri"/>
                      <w:lang w:val="fr-FR"/>
                    </w:rPr>
                    <w:t>é</w:t>
                  </w:r>
                  <w:r w:rsidRPr="001D2415">
                    <w:rPr>
                      <w:rFonts w:ascii="Calibri" w:hAnsi="Calibri"/>
                      <w:lang w:val="fr-FR"/>
                    </w:rPr>
                    <w:t>tique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alt="Zone de texte 3" style="position:absolute;margin-left:44.6pt;margin-top:6.5pt;width:172.9pt;height:252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" strokeweight=".5pt">
            <v:stroke joinstyle="round"/>
            <v:textbox inset="1.2699mm,1.2699mm,1.2699mm,1.2699mm">
              <w:txbxContent>
                <w:p w:rsidR="00E01A34" w:rsidRDefault="007709B2">
                  <w:pPr>
                    <w:pStyle w:val="orientationgeneparagraphepreambule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Orientations générales du thème données dans le préambule</w:t>
                  </w:r>
                </w:p>
                <w:p w:rsidR="00E01A34" w:rsidRDefault="00E01A34">
                  <w:pPr>
                    <w:pStyle w:val="orientationgeneparagraphepreambule"/>
                  </w:pPr>
                </w:p>
                <w:p w:rsidR="00E01A34" w:rsidRDefault="00A05D3A">
                  <w:pPr>
                    <w:pStyle w:val="Pardfau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spacing w:after="240"/>
                    <w:ind w:left="500"/>
                  </w:pPr>
                  <w:r>
                    <w:rPr>
                      <w:rStyle w:val="Aucune"/>
                      <w:rFonts w:ascii="Trebuchet MS" w:hAnsi="Trebuchet MS"/>
                      <w:color w:val="00AD00"/>
                      <w:u w:color="00AD00"/>
                    </w:rPr>
                    <w:t>C</w:t>
                  </w:r>
                  <w:r w:rsidR="007709B2">
                    <w:rPr>
                      <w:rStyle w:val="Aucune"/>
                      <w:rFonts w:ascii="Trebuchet MS" w:hAnsi="Trebuchet MS"/>
                      <w:color w:val="00AD00"/>
                      <w:u w:color="00AD00"/>
                    </w:rPr>
                    <w:t xml:space="preserve">onstruction, à </w:t>
                  </w:r>
                  <w:r w:rsidR="007709B2">
                    <w:rPr>
                      <w:rStyle w:val="Aucune"/>
                      <w:rFonts w:ascii="Trebuchet MS" w:hAnsi="Trebuchet MS"/>
                      <w:color w:val="00AD00"/>
                      <w:u w:color="00AD00"/>
                      <w:lang w:val="pt-PT"/>
                    </w:rPr>
                    <w:t>partir de m</w:t>
                  </w:r>
                  <w:proofErr w:type="spellStart"/>
                  <w:r w:rsidR="007709B2">
                    <w:rPr>
                      <w:rStyle w:val="Aucune"/>
                      <w:rFonts w:ascii="Trebuchet MS" w:hAnsi="Trebuchet MS"/>
                      <w:color w:val="00AD00"/>
                      <w:u w:color="00AD00"/>
                    </w:rPr>
                    <w:t>éthodes</w:t>
                  </w:r>
                  <w:proofErr w:type="spellEnd"/>
                  <w:r w:rsidR="007709B2">
                    <w:rPr>
                      <w:rStyle w:val="Aucune"/>
                      <w:rFonts w:ascii="Trebuchet MS" w:hAnsi="Trebuchet MS"/>
                      <w:color w:val="00AD00"/>
                      <w:u w:color="00AD00"/>
                    </w:rPr>
                    <w:t xml:space="preserve"> de recherche et d’analyse rigoureuses fo</w:t>
                  </w:r>
                  <w:r w:rsidR="007709B2">
                    <w:rPr>
                      <w:rStyle w:val="Aucune"/>
                      <w:rFonts w:ascii="Trebuchet MS" w:hAnsi="Trebuchet MS"/>
                      <w:color w:val="00AD00"/>
                      <w:u w:color="00AD00"/>
                    </w:rPr>
                    <w:t>n</w:t>
                  </w:r>
                  <w:r w:rsidR="007709B2">
                    <w:rPr>
                      <w:rStyle w:val="Aucune"/>
                      <w:rFonts w:ascii="Trebuchet MS" w:hAnsi="Trebuchet MS"/>
                      <w:color w:val="00AD00"/>
                      <w:u w:color="00AD00"/>
                    </w:rPr>
                    <w:t xml:space="preserve">dées sur l’observation de la Terre et du monde vivant, afin d’avoir une explication cohérente de leur état, de leur fonctionnement et de leur histoire. </w:t>
                  </w:r>
                  <w:r w:rsidR="007709B2">
                    <w:rPr>
                      <w:rStyle w:val="Aucune"/>
                      <w:rFonts w:ascii="Arial Unicode MS" w:hAnsi="Arial Unicode MS"/>
                      <w:color w:val="00AD00"/>
                      <w:u w:color="00AD00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margin-left:225pt;margin-top:3.4pt;width:540.3pt;height:489.5pt;z-index:251661312;visibility:visible;mso-wrap-distance-left:0;mso-wrap-distance-right:0;mso-position-vertical-relative:line" strokeweight=".5pt">
            <v:stroke joinstyle="round"/>
          </v:rect>
        </w:pict>
      </w: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3F3CE2">
      <w:pPr>
        <w:pStyle w:val="CorpsA"/>
      </w:pPr>
      <w:r>
        <w:rPr>
          <w:noProof/>
        </w:rPr>
        <w:pict>
          <v:shape id="_x0000_s1030" type="#_x0000_t202" alt="Zone de texte 4" style="position:absolute;margin-left:44.55pt;margin-top:13.1pt;width:172.9pt;height:226.75pt;z-index:25166540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" strokeweight=".5pt">
            <v:stroke joinstyle="round"/>
            <v:textbox inset="1.2699mm,1.2699mm,1.2699mm,1.2699mm">
              <w:txbxContent>
                <w:p w:rsidR="00E01A34" w:rsidRDefault="007709B2">
                  <w:pPr>
                    <w:pStyle w:val="Pointfortparagrapheintroductif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Points forts du paragraphe intr</w:t>
                  </w:r>
                  <w:r>
                    <w:rPr>
                      <w:rStyle w:val="Aucune"/>
                      <w:b/>
                      <w:bCs/>
                    </w:rPr>
                    <w:t>o</w:t>
                  </w:r>
                  <w:r>
                    <w:rPr>
                      <w:rStyle w:val="Aucune"/>
                      <w:b/>
                      <w:bCs/>
                    </w:rPr>
                    <w:t>ductif</w:t>
                  </w:r>
                </w:p>
                <w:p w:rsidR="00E01A34" w:rsidRDefault="00E01A34">
                  <w:pPr>
                    <w:pStyle w:val="CorpsA"/>
                    <w:rPr>
                      <w:rStyle w:val="Aucune"/>
                      <w:b/>
                      <w:bCs/>
                      <w:color w:val="4472C4"/>
                      <w:u w:color="4472C4"/>
                    </w:rPr>
                  </w:pPr>
                </w:p>
                <w:p w:rsidR="00C15AC1" w:rsidRDefault="00C15AC1">
                  <w:pPr>
                    <w:pStyle w:val="CorpsA"/>
                  </w:pPr>
                  <w:r>
                    <w:rPr>
                      <w:rStyle w:val="Aucune"/>
                      <w:b/>
                      <w:bCs/>
                      <w:color w:val="4472C4"/>
                      <w:u w:color="4472C4"/>
                    </w:rPr>
                    <w:t>Relier l’échelle cellulaire (mitose, chromosomes) à l’échelle mol</w:t>
                  </w:r>
                  <w:r>
                    <w:rPr>
                      <w:rStyle w:val="Aucune"/>
                      <w:b/>
                      <w:bCs/>
                      <w:color w:val="4472C4"/>
                      <w:u w:color="4472C4"/>
                    </w:rPr>
                    <w:t>é</w:t>
                  </w:r>
                  <w:r>
                    <w:rPr>
                      <w:rStyle w:val="Aucune"/>
                      <w:b/>
                      <w:bCs/>
                      <w:color w:val="4472C4"/>
                      <w:u w:color="4472C4"/>
                    </w:rPr>
                    <w:t>culaire (ADN).</w:t>
                  </w:r>
                </w:p>
              </w:txbxContent>
            </v:textbox>
          </v:shape>
        </w:pict>
      </w:r>
    </w:p>
    <w:p w:rsidR="00E01A34" w:rsidRDefault="003F3CE2">
      <w:pPr>
        <w:pStyle w:val="CorpsA"/>
      </w:pPr>
      <w:r>
        <w:rPr>
          <w:noProof/>
        </w:rPr>
        <w:pict>
          <v:shape id="_x0000_s1032" type="#_x0000_t202" alt="Description : Zone de texte 14" style="position:absolute;margin-left:231.6pt;margin-top:3.3pt;width:528.1pt;height:221.1pt;z-index:251664384;visibility:visible;mso-wrap-distance-left:0;mso-wrap-distance-right:0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" strokeweight=".5pt">
            <v:stroke joinstyle="round"/>
            <v:textbox inset="1.2699mm,1.2699mm,1.2699mm,1.2699mm">
              <w:txbxContent>
                <w:p w:rsidR="00E20202" w:rsidRDefault="00E20202">
                  <w:pPr>
                    <w:pStyle w:val="acquiscycle4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Acquis du cycle 4 : AFC</w:t>
                  </w:r>
                </w:p>
                <w:p w:rsidR="00E20202" w:rsidRDefault="00E20202" w:rsidP="00E20202">
                  <w:pPr>
                    <w:pStyle w:val="acquiscycle4"/>
                    <w:rPr>
                      <w:rFonts w:ascii="Arial" w:eastAsia="Times New Roman" w:hAnsi="Arial" w:cs="Arial"/>
                      <w:color w:val="auto"/>
                    </w:rPr>
                  </w:pPr>
                  <w:r w:rsidRPr="00E20202">
                    <w:rPr>
                      <w:rFonts w:ascii="Arial" w:eastAsia="Times New Roman" w:hAnsi="Arial" w:cs="Arial"/>
                      <w:color w:val="auto"/>
                    </w:rPr>
                    <w:t>Mettre en relation différents faits et établir des relations de causalité pour expliquer la dynamique des p</w:t>
                  </w:r>
                  <w:r w:rsidRPr="00E20202">
                    <w:rPr>
                      <w:rFonts w:ascii="Arial" w:eastAsia="Times New Roman" w:hAnsi="Arial" w:cs="Arial"/>
                      <w:color w:val="auto"/>
                    </w:rPr>
                    <w:t>o</w:t>
                  </w:r>
                  <w:r w:rsidRPr="00E20202">
                    <w:rPr>
                      <w:rFonts w:ascii="Arial" w:eastAsia="Times New Roman" w:hAnsi="Arial" w:cs="Arial"/>
                      <w:color w:val="auto"/>
                    </w:rPr>
                    <w:t>pulations</w:t>
                  </w:r>
                  <w:r>
                    <w:rPr>
                      <w:rFonts w:ascii="Arial" w:eastAsia="Times New Roman" w:hAnsi="Arial" w:cs="Arial"/>
                      <w:color w:val="auto"/>
                    </w:rPr>
                    <w:t>,</w:t>
                  </w:r>
                  <w:r w:rsidRPr="00E20202">
                    <w:rPr>
                      <w:rFonts w:ascii="Arial" w:hAnsi="Arial" w:cs="Arial"/>
                      <w:color w:val="auto"/>
                    </w:rPr>
                    <w:t> la biodiversité (diversité des espèces) et la diversité génétique des individus</w:t>
                  </w:r>
                  <w:r w:rsidRPr="00E20202">
                    <w:rPr>
                      <w:rFonts w:ascii="Arial" w:eastAsia="Times New Roman" w:hAnsi="Arial" w:cs="Arial"/>
                      <w:color w:val="auto"/>
                    </w:rPr>
                    <w:t>.</w:t>
                  </w:r>
                </w:p>
                <w:p w:rsidR="00920F5F" w:rsidRPr="00E20202" w:rsidRDefault="00920F5F" w:rsidP="00E20202">
                  <w:pPr>
                    <w:pStyle w:val="acquiscycle4"/>
                    <w:rPr>
                      <w:rFonts w:ascii="Arial" w:eastAsia="Times New Roman" w:hAnsi="Arial" w:cs="Arial"/>
                      <w:color w:val="auto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</w:rPr>
                    <w:t xml:space="preserve">Expliquer quelques relations biologiques en relation avec la reproduction et la sexualité. </w:t>
                  </w:r>
                </w:p>
                <w:p w:rsidR="00E20202" w:rsidRPr="00B9090A" w:rsidRDefault="00E20202" w:rsidP="0077529C">
                  <w:pPr>
                    <w:pStyle w:val="acquiscycle4"/>
                    <w:rPr>
                      <w:rStyle w:val="Aucune"/>
                      <w:bCs/>
                      <w:color w:val="auto"/>
                    </w:rPr>
                  </w:pPr>
                  <w:bookmarkStart w:id="0" w:name="_GoBack"/>
                </w:p>
                <w:p w:rsidR="00E20202" w:rsidRPr="00B9090A" w:rsidRDefault="00E20202" w:rsidP="0077529C">
                  <w:pPr>
                    <w:pStyle w:val="Pardfaut"/>
                    <w:numPr>
                      <w:ilvl w:val="0"/>
                      <w:numId w:val="1"/>
                    </w:numP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proofErr w:type="spellStart"/>
                  <w:r w:rsidRPr="00B9090A">
                    <w:rPr>
                      <w:rStyle w:val="Aucune"/>
                      <w:rFonts w:ascii="Calibri" w:eastAsia="Calibri" w:hAnsi="Calibri" w:cs="Calibri"/>
                      <w:bCs/>
                      <w:sz w:val="24"/>
                      <w:szCs w:val="24"/>
                      <w:lang w:val="de-DE"/>
                    </w:rPr>
                    <w:t>Diversit</w:t>
                  </w:r>
                  <w:proofErr w:type="spellEnd"/>
                  <w:r w:rsidRPr="00B9090A">
                    <w:rPr>
                      <w:rStyle w:val="Aucune"/>
                      <w:rFonts w:ascii="Calibri" w:eastAsia="Calibri" w:hAnsi="Calibri" w:cs="Calibri"/>
                      <w:bCs/>
                      <w:sz w:val="24"/>
                      <w:szCs w:val="24"/>
                    </w:rPr>
                    <w:t xml:space="preserve">é génétique au sein d’une </w:t>
                  </w:r>
                  <w:proofErr w:type="gramStart"/>
                  <w:r w:rsidRPr="00B9090A">
                    <w:rPr>
                      <w:rStyle w:val="Aucune"/>
                      <w:rFonts w:ascii="Calibri" w:eastAsia="Calibri" w:hAnsi="Calibri" w:cs="Calibri"/>
                      <w:bCs/>
                      <w:sz w:val="24"/>
                      <w:szCs w:val="24"/>
                    </w:rPr>
                    <w:t>population ;</w:t>
                  </w:r>
                  <w:proofErr w:type="gramEnd"/>
                  <w:r w:rsidRPr="00B9090A">
                    <w:rPr>
                      <w:rStyle w:val="Aucune"/>
                      <w:rFonts w:ascii="Calibri" w:eastAsia="Calibri" w:hAnsi="Calibri" w:cs="Calibri"/>
                      <w:bCs/>
                      <w:sz w:val="24"/>
                      <w:szCs w:val="24"/>
                    </w:rPr>
                    <w:t xml:space="preserve"> héritabilité</w:t>
                  </w:r>
                  <w:r w:rsidRPr="00B9090A">
                    <w:rPr>
                      <w:rStyle w:val="Aucune"/>
                      <w:rFonts w:ascii="Calibri" w:eastAsia="Calibri" w:hAnsi="Calibri" w:cs="Calibri"/>
                      <w:bCs/>
                      <w:sz w:val="24"/>
                      <w:szCs w:val="24"/>
                      <w:lang w:val="it-IT"/>
                    </w:rPr>
                    <w:t>, stabilit</w:t>
                  </w:r>
                  <w:r w:rsidRPr="00B9090A">
                    <w:rPr>
                      <w:rStyle w:val="Aucune"/>
                      <w:rFonts w:ascii="Calibri" w:eastAsia="Calibri" w:hAnsi="Calibri" w:cs="Calibri"/>
                      <w:bCs/>
                      <w:sz w:val="24"/>
                      <w:szCs w:val="24"/>
                    </w:rPr>
                    <w:t xml:space="preserve">é des groupes. </w:t>
                  </w:r>
                </w:p>
                <w:p w:rsidR="00E20202" w:rsidRPr="00B9090A" w:rsidRDefault="00E20202" w:rsidP="0077529C">
                  <w:pPr>
                    <w:pStyle w:val="Pardfaut"/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B9090A">
                    <w:rPr>
                      <w:rStyle w:val="Aucune"/>
                      <w:rFonts w:ascii="Calibri" w:eastAsia="Calibri" w:hAnsi="Calibri" w:cs="Calibri"/>
                      <w:bCs/>
                      <w:sz w:val="24"/>
                      <w:szCs w:val="24"/>
                    </w:rPr>
                    <w:t xml:space="preserve">ADN, mutations, brassage, </w:t>
                  </w:r>
                  <w:proofErr w:type="spellStart"/>
                  <w:r w:rsidRPr="00B9090A">
                    <w:rPr>
                      <w:rStyle w:val="Aucune"/>
                      <w:rFonts w:ascii="Calibri" w:eastAsia="Calibri" w:hAnsi="Calibri" w:cs="Calibri"/>
                      <w:bCs/>
                      <w:sz w:val="24"/>
                      <w:szCs w:val="24"/>
                    </w:rPr>
                    <w:t>gè</w:t>
                  </w:r>
                  <w:proofErr w:type="spellEnd"/>
                  <w:r w:rsidRPr="00B9090A">
                    <w:rPr>
                      <w:rStyle w:val="Aucune"/>
                      <w:rFonts w:ascii="Calibri" w:eastAsia="Calibri" w:hAnsi="Calibri" w:cs="Calibri"/>
                      <w:bCs/>
                      <w:sz w:val="24"/>
                      <w:szCs w:val="24"/>
                      <w:lang w:val="it-IT"/>
                    </w:rPr>
                    <w:t>ne, m</w:t>
                  </w:r>
                  <w:proofErr w:type="spellStart"/>
                  <w:r w:rsidRPr="00B9090A">
                    <w:rPr>
                      <w:rStyle w:val="Aucune"/>
                      <w:rFonts w:ascii="Calibri" w:eastAsia="Calibri" w:hAnsi="Calibri" w:cs="Calibri"/>
                      <w:bCs/>
                      <w:sz w:val="24"/>
                      <w:szCs w:val="24"/>
                    </w:rPr>
                    <w:t>éiose</w:t>
                  </w:r>
                  <w:proofErr w:type="spellEnd"/>
                  <w:r w:rsidRPr="00B9090A">
                    <w:rPr>
                      <w:rStyle w:val="Aucune"/>
                      <w:rFonts w:ascii="Calibri" w:eastAsia="Calibri" w:hAnsi="Calibri" w:cs="Calibri"/>
                      <w:bCs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B9090A">
                    <w:rPr>
                      <w:rStyle w:val="Aucune"/>
                      <w:rFonts w:ascii="Calibri" w:eastAsia="Calibri" w:hAnsi="Calibri" w:cs="Calibri"/>
                      <w:bCs/>
                      <w:sz w:val="24"/>
                      <w:szCs w:val="24"/>
                    </w:rPr>
                    <w:t>fé</w:t>
                  </w:r>
                  <w:proofErr w:type="spellEnd"/>
                  <w:r w:rsidRPr="00B9090A">
                    <w:rPr>
                      <w:rStyle w:val="Aucune"/>
                      <w:rFonts w:ascii="Calibri" w:eastAsia="Calibri" w:hAnsi="Calibri" w:cs="Calibri"/>
                      <w:bCs/>
                      <w:sz w:val="24"/>
                      <w:szCs w:val="24"/>
                      <w:lang w:val="it-IT"/>
                    </w:rPr>
                    <w:t xml:space="preserve">condation. </w:t>
                  </w:r>
                </w:p>
                <w:bookmarkEnd w:id="0"/>
                <w:p w:rsidR="00E20202" w:rsidRDefault="00E20202">
                  <w:pPr>
                    <w:pStyle w:val="lienseducations"/>
                    <w:spacing w:before="240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Lien avec les éducations à :</w:t>
                  </w:r>
                </w:p>
                <w:p w:rsidR="00E20202" w:rsidRDefault="00E20202">
                  <w:pPr>
                    <w:pStyle w:val="lienseducations"/>
                  </w:pPr>
                  <w:r>
                    <w:t>Santé</w:t>
                  </w:r>
                </w:p>
                <w:p w:rsidR="00E20202" w:rsidRDefault="00E20202">
                  <w:pPr>
                    <w:pStyle w:val="lienseducations"/>
                  </w:pPr>
                  <w:r>
                    <w:t>Développement durable</w:t>
                  </w:r>
                </w:p>
                <w:p w:rsidR="00E20202" w:rsidRDefault="00E20202">
                  <w:pPr>
                    <w:pStyle w:val="lienseducations"/>
                  </w:pPr>
                  <w:r>
                    <w:t>Citoyenneté</w:t>
                  </w:r>
                </w:p>
                <w:p w:rsidR="00E20202" w:rsidRDefault="00E20202">
                  <w:pPr>
                    <w:pStyle w:val="ouverturemetier"/>
                    <w:spacing w:before="240"/>
                    <w:rPr>
                      <w:rStyle w:val="Aucun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Style w:val="Aucune"/>
                      <w:b/>
                      <w:bCs/>
                      <w:sz w:val="24"/>
                      <w:szCs w:val="24"/>
                    </w:rPr>
                    <w:t>Ouverture métier : rencontre avec des techniciens de laboratoire (</w:t>
                  </w:r>
                  <w:proofErr w:type="gramStart"/>
                  <w:r>
                    <w:rPr>
                      <w:rStyle w:val="Aucune"/>
                      <w:b/>
                      <w:bCs/>
                      <w:sz w:val="24"/>
                      <w:szCs w:val="24"/>
                    </w:rPr>
                    <w:t>ARS ,</w:t>
                  </w:r>
                  <w:proofErr w:type="gramEnd"/>
                  <w:r>
                    <w:rPr>
                      <w:rStyle w:val="Aucune"/>
                      <w:b/>
                      <w:bCs/>
                      <w:sz w:val="24"/>
                      <w:szCs w:val="24"/>
                    </w:rPr>
                    <w:t xml:space="preserve"> CHU….)</w:t>
                  </w:r>
                </w:p>
                <w:p w:rsidR="00E20202" w:rsidRDefault="00E20202">
                  <w:pPr>
                    <w:pStyle w:val="lienressourceslithotheque"/>
                    <w:spacing w:before="240"/>
                  </w:pPr>
                  <w:r>
                    <w:rPr>
                      <w:rStyle w:val="Aucune"/>
                      <w:b/>
                      <w:bCs/>
                    </w:rPr>
                    <w:t xml:space="preserve">Lien avec ressources </w:t>
                  </w:r>
                  <w:proofErr w:type="spellStart"/>
                  <w:r>
                    <w:rPr>
                      <w:rStyle w:val="Aucune"/>
                      <w:b/>
                      <w:bCs/>
                    </w:rPr>
                    <w:t>lithothèque</w:t>
                  </w:r>
                  <w:proofErr w:type="spellEnd"/>
                </w:p>
              </w:txbxContent>
            </v:textbox>
          </v:shape>
        </w:pict>
      </w: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p w:rsidR="00E01A34" w:rsidRDefault="00E01A34">
      <w:pPr>
        <w:pStyle w:val="CorpsA"/>
      </w:pPr>
    </w:p>
    <w:sectPr w:rsidR="00E01A34" w:rsidSect="003F3CE2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16" w:rsidRDefault="00D31516">
      <w:r>
        <w:separator/>
      </w:r>
    </w:p>
  </w:endnote>
  <w:endnote w:type="continuationSeparator" w:id="0">
    <w:p w:rsidR="00D31516" w:rsidRDefault="00D3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02" w:rsidRDefault="00E20202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16" w:rsidRDefault="00D31516">
      <w:r>
        <w:separator/>
      </w:r>
    </w:p>
  </w:footnote>
  <w:footnote w:type="continuationSeparator" w:id="0">
    <w:p w:rsidR="00D31516" w:rsidRDefault="00D31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02" w:rsidRDefault="00E2020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144"/>
    <w:multiLevelType w:val="hybridMultilevel"/>
    <w:tmpl w:val="D9FC3078"/>
    <w:lvl w:ilvl="0" w:tplc="E8CC92B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B677C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4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20AFF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6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BE927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8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AD4D4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0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14CBD8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2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8C6E6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4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108F9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FC43D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38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1A34"/>
    <w:rsid w:val="001D2415"/>
    <w:rsid w:val="00384D0A"/>
    <w:rsid w:val="003F3CE2"/>
    <w:rsid w:val="006E0C33"/>
    <w:rsid w:val="007026F7"/>
    <w:rsid w:val="007709B2"/>
    <w:rsid w:val="0077529C"/>
    <w:rsid w:val="00920F5F"/>
    <w:rsid w:val="009279B0"/>
    <w:rsid w:val="00A05D3A"/>
    <w:rsid w:val="00A453E1"/>
    <w:rsid w:val="00B9090A"/>
    <w:rsid w:val="00C15AC1"/>
    <w:rsid w:val="00D31516"/>
    <w:rsid w:val="00E01A34"/>
    <w:rsid w:val="00E2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CE2"/>
    <w:rPr>
      <w:sz w:val="24"/>
      <w:szCs w:val="24"/>
      <w:lang w:val="en-US" w:eastAsia="en-US"/>
    </w:rPr>
  </w:style>
  <w:style w:type="paragraph" w:styleId="Titre1">
    <w:name w:val="heading 1"/>
    <w:next w:val="CorpsA"/>
    <w:rsid w:val="003F3CE2"/>
    <w:pPr>
      <w:jc w:val="center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Titre2">
    <w:name w:val="heading 2"/>
    <w:next w:val="CorpsA"/>
    <w:rsid w:val="003F3CE2"/>
    <w:pPr>
      <w:jc w:val="center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24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F3CE2"/>
    <w:rPr>
      <w:u w:val="single"/>
    </w:rPr>
  </w:style>
  <w:style w:type="table" w:customStyle="1" w:styleId="TableNormal">
    <w:name w:val="Table Normal"/>
    <w:rsid w:val="003F3C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F3C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sid w:val="003F3CE2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nouvconnaissancescapacits">
    <w:name w:val="nouv_connaissances_capacités"/>
    <w:rsid w:val="003F3CE2"/>
    <w:rPr>
      <w:rFonts w:ascii="Calibri" w:eastAsia="Calibri" w:hAnsi="Calibri" w:cs="Calibri"/>
      <w:color w:val="FF0000"/>
      <w:sz w:val="22"/>
      <w:szCs w:val="22"/>
      <w:u w:color="FF0000"/>
    </w:rPr>
  </w:style>
  <w:style w:type="character" w:customStyle="1" w:styleId="Aucune">
    <w:name w:val="Aucune"/>
    <w:rsid w:val="003F3CE2"/>
    <w:rPr>
      <w:lang w:val="fr-FR"/>
    </w:rPr>
  </w:style>
  <w:style w:type="paragraph" w:customStyle="1" w:styleId="Utilisationnumerique">
    <w:name w:val="Utilisation_numerique"/>
    <w:rsid w:val="003F3CE2"/>
    <w:rPr>
      <w:rFonts w:ascii="Calibri" w:eastAsia="Calibri" w:hAnsi="Calibri" w:cs="Calibri"/>
      <w:color w:val="7030A0"/>
      <w:sz w:val="22"/>
      <w:szCs w:val="22"/>
      <w:u w:color="7030A0"/>
    </w:rPr>
  </w:style>
  <w:style w:type="paragraph" w:customStyle="1" w:styleId="Ressourceslocalespossibles">
    <w:name w:val="Ressources locales possibles"/>
    <w:rsid w:val="003F3CE2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orientationgeneparagraphepreambule">
    <w:name w:val="orientation_gene_paragraphe_preambule"/>
    <w:rsid w:val="003F3CE2"/>
    <w:rPr>
      <w:rFonts w:ascii="Calibri" w:eastAsia="Calibri" w:hAnsi="Calibri" w:cs="Calibri"/>
      <w:color w:val="00B050"/>
      <w:sz w:val="22"/>
      <w:szCs w:val="22"/>
      <w:u w:color="00B050"/>
    </w:rPr>
  </w:style>
  <w:style w:type="paragraph" w:customStyle="1" w:styleId="Pardfaut">
    <w:name w:val="Par défaut"/>
    <w:rsid w:val="003F3CE2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Pointfortparagrapheintroductif">
    <w:name w:val="Point_fort paragraphe_introductif"/>
    <w:rsid w:val="003F3CE2"/>
    <w:rPr>
      <w:rFonts w:ascii="Calibri" w:eastAsia="Calibri" w:hAnsi="Calibri" w:cs="Calibri"/>
      <w:color w:val="4472C4"/>
      <w:sz w:val="22"/>
      <w:szCs w:val="22"/>
      <w:u w:color="4472C4"/>
    </w:rPr>
  </w:style>
  <w:style w:type="paragraph" w:customStyle="1" w:styleId="acquiscycle4">
    <w:name w:val="acquis_cycle4"/>
    <w:rsid w:val="003F3CE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enseducations">
    <w:name w:val="liens_educations_à"/>
    <w:rsid w:val="003F3CE2"/>
    <w:pPr>
      <w:tabs>
        <w:tab w:val="center" w:pos="4536"/>
        <w:tab w:val="right" w:pos="9072"/>
      </w:tabs>
    </w:pPr>
    <w:rPr>
      <w:rFonts w:ascii="Calibri" w:eastAsia="Calibri" w:hAnsi="Calibri" w:cs="Calibri"/>
      <w:color w:val="00B050"/>
      <w:sz w:val="24"/>
      <w:szCs w:val="24"/>
      <w:u w:color="00B050"/>
    </w:rPr>
  </w:style>
  <w:style w:type="paragraph" w:customStyle="1" w:styleId="ouverturemetier">
    <w:name w:val="ouverture_metier"/>
    <w:rsid w:val="003F3CE2"/>
    <w:pPr>
      <w:tabs>
        <w:tab w:val="center" w:pos="4536"/>
        <w:tab w:val="right" w:pos="9072"/>
      </w:tabs>
    </w:pPr>
    <w:rPr>
      <w:rFonts w:ascii="Calibri" w:eastAsia="Calibri" w:hAnsi="Calibri" w:cs="Calibri"/>
      <w:color w:val="FFC000"/>
      <w:sz w:val="22"/>
      <w:szCs w:val="22"/>
      <w:u w:color="FFC000"/>
    </w:rPr>
  </w:style>
  <w:style w:type="paragraph" w:customStyle="1" w:styleId="lienressourceslithotheque">
    <w:name w:val="lien_ressources_lithotheque"/>
    <w:rsid w:val="003F3CE2"/>
    <w:pPr>
      <w:tabs>
        <w:tab w:val="center" w:pos="4536"/>
        <w:tab w:val="right" w:pos="9072"/>
      </w:tabs>
    </w:pPr>
    <w:rPr>
      <w:rFonts w:ascii="Calibri" w:eastAsia="Calibri" w:hAnsi="Calibri" w:cs="Calibri"/>
      <w:color w:val="C00000"/>
      <w:sz w:val="24"/>
      <w:szCs w:val="24"/>
      <w:u w:color="C00000"/>
    </w:rPr>
  </w:style>
  <w:style w:type="paragraph" w:styleId="Sansinterligne">
    <w:name w:val="No Spacing"/>
    <w:uiPriority w:val="1"/>
    <w:qFormat/>
    <w:rsid w:val="001D2415"/>
    <w:rPr>
      <w:sz w:val="24"/>
      <w:szCs w:val="24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1D241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A"/>
    <w:pPr>
      <w:jc w:val="center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Titre2">
    <w:name w:val="heading 2"/>
    <w:next w:val="CorpsA"/>
    <w:pPr>
      <w:jc w:val="center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nouvconnaissancescapacits">
    <w:name w:val="nouv_connaissances_capacités"/>
    <w:rPr>
      <w:rFonts w:ascii="Calibri" w:eastAsia="Calibri" w:hAnsi="Calibri" w:cs="Calibri"/>
      <w:color w:val="FF0000"/>
      <w:sz w:val="22"/>
      <w:szCs w:val="22"/>
      <w:u w:color="FF0000"/>
    </w:rPr>
  </w:style>
  <w:style w:type="character" w:customStyle="1" w:styleId="Aucune">
    <w:name w:val="Aucune"/>
    <w:rPr>
      <w:lang w:val="fr-FR"/>
    </w:rPr>
  </w:style>
  <w:style w:type="paragraph" w:customStyle="1" w:styleId="Utilisationnumerique">
    <w:name w:val="Utilisation_numerique"/>
    <w:rPr>
      <w:rFonts w:ascii="Calibri" w:eastAsia="Calibri" w:hAnsi="Calibri" w:cs="Calibri"/>
      <w:color w:val="7030A0"/>
      <w:sz w:val="22"/>
      <w:szCs w:val="22"/>
      <w:u w:color="7030A0"/>
    </w:rPr>
  </w:style>
  <w:style w:type="paragraph" w:customStyle="1" w:styleId="Ressourceslocalespossibles">
    <w:name w:val="Ressources locales possibles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orientationgeneparagraphepreambule">
    <w:name w:val="orientation_gene_paragraphe_preambule"/>
    <w:rPr>
      <w:rFonts w:ascii="Calibri" w:eastAsia="Calibri" w:hAnsi="Calibri" w:cs="Calibri"/>
      <w:color w:val="00B050"/>
      <w:sz w:val="22"/>
      <w:szCs w:val="22"/>
      <w:u w:color="00B050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Pointfortparagrapheintroductif">
    <w:name w:val="Point_fort paragraphe_introductif"/>
    <w:rPr>
      <w:rFonts w:ascii="Calibri" w:eastAsia="Calibri" w:hAnsi="Calibri" w:cs="Calibri"/>
      <w:color w:val="4472C4"/>
      <w:sz w:val="22"/>
      <w:szCs w:val="22"/>
      <w:u w:color="4472C4"/>
    </w:rPr>
  </w:style>
  <w:style w:type="paragraph" w:customStyle="1" w:styleId="acquiscycle4">
    <w:name w:val="acquis_cycle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enseducations">
    <w:name w:val="liens_educations_à"/>
    <w:pPr>
      <w:tabs>
        <w:tab w:val="center" w:pos="4536"/>
        <w:tab w:val="right" w:pos="9072"/>
      </w:tabs>
    </w:pPr>
    <w:rPr>
      <w:rFonts w:ascii="Calibri" w:eastAsia="Calibri" w:hAnsi="Calibri" w:cs="Calibri"/>
      <w:color w:val="00B050"/>
      <w:sz w:val="24"/>
      <w:szCs w:val="24"/>
      <w:u w:color="00B050"/>
    </w:rPr>
  </w:style>
  <w:style w:type="paragraph" w:customStyle="1" w:styleId="ouverturemetier">
    <w:name w:val="ouverture_metier"/>
    <w:pPr>
      <w:tabs>
        <w:tab w:val="center" w:pos="4536"/>
        <w:tab w:val="right" w:pos="9072"/>
      </w:tabs>
    </w:pPr>
    <w:rPr>
      <w:rFonts w:ascii="Calibri" w:eastAsia="Calibri" w:hAnsi="Calibri" w:cs="Calibri"/>
      <w:color w:val="FFC000"/>
      <w:sz w:val="22"/>
      <w:szCs w:val="22"/>
      <w:u w:color="FFC000"/>
    </w:rPr>
  </w:style>
  <w:style w:type="paragraph" w:customStyle="1" w:styleId="lienressourceslithotheque">
    <w:name w:val="lien_ressources_lithotheque"/>
    <w:pPr>
      <w:tabs>
        <w:tab w:val="center" w:pos="4536"/>
        <w:tab w:val="right" w:pos="9072"/>
      </w:tabs>
    </w:pPr>
    <w:rPr>
      <w:rFonts w:ascii="Calibri" w:eastAsia="Calibri" w:hAnsi="Calibri" w:cs="Calibri"/>
      <w:color w:val="C00000"/>
      <w:sz w:val="24"/>
      <w:szCs w:val="24"/>
      <w:u w:color="C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F.DONATIEN</dc:creator>
  <cp:lastModifiedBy>COLLEGE F.DONATIEN</cp:lastModifiedBy>
  <cp:revision>2</cp:revision>
  <dcterms:created xsi:type="dcterms:W3CDTF">2019-05-22T21:44:00Z</dcterms:created>
  <dcterms:modified xsi:type="dcterms:W3CDTF">2019-05-22T21:44:00Z</dcterms:modified>
</cp:coreProperties>
</file>