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F1F" w:rsidRDefault="00751B94">
      <w:pPr>
        <w:pStyle w:val="Corps"/>
      </w:pPr>
      <w:r>
        <w:rPr>
          <w:noProof/>
        </w:rPr>
        <w:pict>
          <v:shapetype id="_x0000_t202" coordsize="21600,21600" o:spt="202" path="m,l,21600r21600,l21600,xe">
            <v:stroke joinstyle="miter"/>
            <v:path gradientshapeok="t" o:connecttype="rect"/>
          </v:shapetype>
          <v:shape id="officeArt object" o:spid="_x0000_s1026" type="#_x0000_t202" alt="Description : Zone de texte 16" style="position:absolute;margin-left:0;margin-top:-3.4pt;width:765pt;height:28.65pt;z-index:251666432;visibility:visible;mso-wrap-distance-left:0;mso-wrap-distance-right:0;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" strokeweight=".5pt">
            <v:stroke joinstyle="round"/>
            <v:textbox inset="1.27mm,1.27mm,1.27mm,1.27mm">
              <w:txbxContent>
                <w:p w:rsidR="00ED1F1F" w:rsidRDefault="00871EA8">
                  <w:pPr>
                    <w:pStyle w:val="Titre1"/>
                  </w:pPr>
                  <w:r>
                    <w:t>THEME 1 </w:t>
                  </w:r>
                  <w:proofErr w:type="gramStart"/>
                  <w:r>
                    <w:t>:La</w:t>
                  </w:r>
                  <w:proofErr w:type="gramEnd"/>
                  <w:r>
                    <w:t xml:space="preserve"> Terre, la vie et l’organisation du vivant </w:t>
                  </w:r>
                </w:p>
              </w:txbxContent>
            </v:textbox>
          </v:shape>
        </w:pict>
      </w:r>
    </w:p>
    <w:p w:rsidR="00ED1F1F" w:rsidRDefault="00ED1F1F">
      <w:pPr>
        <w:pStyle w:val="Corps"/>
      </w:pPr>
    </w:p>
    <w:p w:rsidR="00ED1F1F" w:rsidRDefault="00751B94">
      <w:pPr>
        <w:pStyle w:val="Corps"/>
      </w:pPr>
      <w:r>
        <w:rPr>
          <w:noProof/>
        </w:rPr>
        <w:pict>
          <v:rect id="_x0000_s1027" style="position:absolute;margin-left:0;margin-top:2.7pt;width:222pt;height:490.5pt;z-index:251659264;visibility:visible;mso-wrap-distance-left:0;mso-wrap-distance-right:0;mso-position-vertical-relative:line" filled="f" strokeweight=".5pt">
            <v:stroke joinstyle="round"/>
          </v:rect>
        </w:pict>
      </w:r>
      <w:r>
        <w:rPr>
          <w:noProof/>
        </w:rPr>
        <w:pict>
          <v:shape id="_x0000_s1033" type="#_x0000_t202" alt="Description : Zone de texte 8" style="position:absolute;margin-left:230.45pt;margin-top:8.3pt;width:530.1pt;height:252.3pt;z-index:251662336;visibility:visible;mso-wrap-distance-left:0;mso-wrap-distance-right:0;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" strokeweight=".5pt">
            <v:stroke joinstyle="round"/>
            <v:textbox inset="1.27mm,1.27mm,1.27mm,1.27mm">
              <w:txbxContent>
                <w:p w:rsidR="00ED1F1F" w:rsidRDefault="00871EA8">
                  <w:pPr>
                    <w:pStyle w:val="Titre2"/>
                  </w:pPr>
                  <w:r>
                    <w:t xml:space="preserve">Titre du 3eme sous- chapitre : Mutations de l’ADN et variabilité génétique </w:t>
                  </w:r>
                </w:p>
                <w:p w:rsidR="00ED1F1F" w:rsidRDefault="00871EA8">
                  <w:pPr>
                    <w:pStyle w:val="nouvconnaissancescapacits"/>
                    <w:spacing w:before="240"/>
                    <w:rPr>
                      <w:rStyle w:val="Aucune"/>
                      <w:b/>
                      <w:bCs/>
                    </w:rPr>
                  </w:pPr>
                  <w:r>
                    <w:rPr>
                      <w:rStyle w:val="Aucune"/>
                      <w:b/>
                      <w:bCs/>
                    </w:rPr>
                    <w:t xml:space="preserve">Nouveautés en termes de connaissance : </w:t>
                  </w:r>
                  <w:r w:rsidR="005B54F2">
                    <w:rPr>
                      <w:rStyle w:val="Aucune"/>
                      <w:b/>
                      <w:bCs/>
                    </w:rPr>
                    <w:t>mutations spontanées et induites, système de réparation</w:t>
                  </w:r>
                </w:p>
                <w:p w:rsidR="00ED1F1F" w:rsidRDefault="00ED1F1F">
                  <w:pPr>
                    <w:pStyle w:val="nouvconnaissancescapacits"/>
                  </w:pPr>
                </w:p>
                <w:p w:rsidR="0058668F" w:rsidRDefault="00871EA8">
                  <w:pPr>
                    <w:pStyle w:val="nouvconnaissancescapacits"/>
                    <w:spacing w:before="240"/>
                  </w:pPr>
                  <w:r>
                    <w:rPr>
                      <w:rStyle w:val="Aucune"/>
                      <w:b/>
                      <w:bCs/>
                    </w:rPr>
                    <w:t xml:space="preserve">Nouveautés en termes de capacités : </w:t>
                  </w:r>
                  <w:r>
                    <w:tab/>
                  </w:r>
                </w:p>
                <w:p w:rsidR="00ED1F1F" w:rsidRDefault="00871EA8">
                  <w:pPr>
                    <w:pStyle w:val="nouvconnaissancescapacits"/>
                    <w:spacing w:before="240"/>
                  </w:pPr>
                  <w:r>
                    <w:t xml:space="preserve">Recenser et exploiter des informations de recherche sur les génomes des trios (père, mère, enfant) afin de se faire une idée sur la fréquence et la nature des mutations spontanées chez l’être humain. </w:t>
                  </w:r>
                  <w:r>
                    <w:rPr>
                      <w:rStyle w:val="Aucune"/>
                      <w:sz w:val="24"/>
                      <w:szCs w:val="24"/>
                      <w:shd w:val="clear" w:color="auto" w:fill="FFFFFF"/>
                    </w:rPr>
                    <w:br/>
                  </w:r>
                  <w:r>
                    <w:t xml:space="preserve">Exploiter des bases de données pour mettre en relation des mutations et leurs effets </w:t>
                  </w:r>
                  <w:r>
                    <w:rPr>
                      <w:rStyle w:val="Aucune"/>
                      <w:sz w:val="24"/>
                      <w:szCs w:val="24"/>
                      <w:shd w:val="clear" w:color="auto" w:fill="FFFFFF"/>
                    </w:rPr>
                    <w:br/>
                  </w:r>
                </w:p>
                <w:p w:rsidR="00ED1F1F" w:rsidRDefault="00871EA8">
                  <w:pPr>
                    <w:pStyle w:val="Utilisationnumerique"/>
                    <w:spacing w:before="240"/>
                    <w:rPr>
                      <w:rStyle w:val="Aucune"/>
                      <w:b/>
                      <w:bCs/>
                    </w:rPr>
                  </w:pPr>
                  <w:r>
                    <w:rPr>
                      <w:rStyle w:val="Aucune"/>
                      <w:b/>
                      <w:bCs/>
                    </w:rPr>
                    <w:t xml:space="preserve">Utilisation du numérique : </w:t>
                  </w:r>
                </w:p>
                <w:p w:rsidR="00ED1F1F" w:rsidRDefault="00623D96">
                  <w:pPr>
                    <w:pStyle w:val="Utilisationnumerique"/>
                  </w:pPr>
                  <w:r>
                    <w:rPr>
                      <w:rStyle w:val="Aucune"/>
                      <w:b/>
                      <w:bCs/>
                    </w:rPr>
                    <w:t>U</w:t>
                  </w:r>
                  <w:r w:rsidR="00871EA8">
                    <w:rPr>
                      <w:rStyle w:val="Aucune"/>
                      <w:b/>
                      <w:bCs/>
                    </w:rPr>
                    <w:t>tilisation de base de données</w:t>
                  </w:r>
                  <w:r w:rsidR="00070168">
                    <w:rPr>
                      <w:rStyle w:val="Aucune"/>
                      <w:b/>
                      <w:bCs/>
                    </w:rPr>
                    <w:t> :</w:t>
                  </w:r>
                  <w:r>
                    <w:rPr>
                      <w:rStyle w:val="Aucune"/>
                      <w:b/>
                      <w:bCs/>
                    </w:rPr>
                    <w:t xml:space="preserve"> B</w:t>
                  </w:r>
                  <w:r w:rsidR="00070168">
                    <w:rPr>
                      <w:rStyle w:val="Aucune"/>
                      <w:b/>
                      <w:bCs/>
                    </w:rPr>
                    <w:t>anque de données de l’OMS (SIG)</w:t>
                  </w:r>
                </w:p>
                <w:p w:rsidR="00ED1F1F" w:rsidRDefault="00871EA8">
                  <w:pPr>
                    <w:pStyle w:val="Ressourceslocalespossibles"/>
                    <w:spacing w:before="240"/>
                    <w:rPr>
                      <w:rStyle w:val="Aucune"/>
                      <w:b/>
                      <w:bCs/>
                    </w:rPr>
                  </w:pPr>
                  <w:r>
                    <w:rPr>
                      <w:rStyle w:val="Aucune"/>
                      <w:b/>
                      <w:bCs/>
                    </w:rPr>
                    <w:t>Ressources locales possibles :</w:t>
                  </w:r>
                </w:p>
                <w:p w:rsidR="00ED1F1F" w:rsidRDefault="00623D96">
                  <w:pPr>
                    <w:pStyle w:val="Ressourceslocalespossibles"/>
                  </w:pPr>
                  <w:r>
                    <w:rPr>
                      <w:rStyle w:val="Aucune"/>
                      <w:b/>
                      <w:bCs/>
                    </w:rPr>
                    <w:t>L</w:t>
                  </w:r>
                  <w:r w:rsidR="00871EA8">
                    <w:rPr>
                      <w:rStyle w:val="Aucune"/>
                      <w:b/>
                      <w:bCs/>
                    </w:rPr>
                    <w:t>ien avec la drépanocytose</w:t>
                  </w:r>
                </w:p>
              </w:txbxContent>
            </v:textbox>
          </v:shape>
        </w:pict>
      </w:r>
      <w:r>
        <w:rPr>
          <w:noProof/>
        </w:rPr>
        <w:pict>
          <v:shape id="_x0000_s1028" type="#_x0000_t202" alt="Description : Zone de texte 5" style="position:absolute;margin-left:-216.75pt;margin-top:232.05pt;width:481.9pt;height:31.2pt;rotation:-90;z-index:251663360;visibility:visible;mso-wrap-distance-left:0;mso-wrap-distance-right:0;mso-position-vertical-relative:li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" strokeweight=".5pt">
            <v:stroke joinstyle="round"/>
            <v:textbox style="layout-flow:vertical;mso-layout-flow-alt:bottom-to-top" inset="1.27mm,1.27mm,1.27mm,1.27mm">
              <w:txbxContent>
                <w:p w:rsidR="00ED1F1F" w:rsidRDefault="00871EA8">
                  <w:pPr>
                    <w:pStyle w:val="Titre2"/>
                  </w:pPr>
                  <w:r>
                    <w:t>TITRE DU CHAPITRE </w:t>
                  </w:r>
                  <w:proofErr w:type="gramStart"/>
                  <w:r>
                    <w:t>:Transmission</w:t>
                  </w:r>
                  <w:proofErr w:type="gramEnd"/>
                  <w:r>
                    <w:t xml:space="preserve">, variation et expression du patrimoine génétique </w:t>
                  </w:r>
                </w:p>
              </w:txbxContent>
            </v:textbox>
          </v:shape>
        </w:pict>
      </w:r>
      <w:r>
        <w:rPr>
          <w:noProof/>
        </w:rPr>
        <w:pict>
          <v:shape id="_x0000_s1029" type="#_x0000_t202" alt="Description : Zone de texte 3" style="position:absolute;margin-left:44.6pt;margin-top:6.5pt;width:172.9pt;height:252pt;z-index:251660288;visibility:visible;mso-wrap-distance-left:0;mso-wrap-distance-right:0;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" strokeweight=".5pt">
            <v:stroke joinstyle="round"/>
            <v:textbox inset="1.27mm,1.27mm,1.27mm,1.27mm">
              <w:txbxContent>
                <w:p w:rsidR="00ED1F1F" w:rsidRDefault="00871EA8">
                  <w:pPr>
                    <w:pStyle w:val="orientationgeneparagraphepreambule"/>
                    <w:rPr>
                      <w:rStyle w:val="Aucune"/>
                      <w:b/>
                      <w:bCs/>
                    </w:rPr>
                  </w:pPr>
                  <w:r>
                    <w:rPr>
                      <w:rStyle w:val="Aucune"/>
                      <w:b/>
                      <w:bCs/>
                    </w:rPr>
                    <w:t>Orientations générales du thème données dans le préambule</w:t>
                  </w:r>
                </w:p>
                <w:p w:rsidR="005B54F2" w:rsidRDefault="005B54F2">
                  <w:pPr>
                    <w:pStyle w:val="orientationgeneparagraphepreambule"/>
                    <w:rPr>
                      <w:rStyle w:val="Aucune"/>
                      <w:b/>
                      <w:bCs/>
                    </w:rPr>
                  </w:pPr>
                </w:p>
                <w:p w:rsidR="00ED1F1F" w:rsidRDefault="005B54F2">
                  <w:pPr>
                    <w:pStyle w:val="orientationgeneparagraphepreambule"/>
                  </w:pPr>
                  <w:r>
                    <w:t>C</w:t>
                  </w:r>
                  <w:r w:rsidR="00871EA8">
                    <w:t xml:space="preserve">onstruction, à partir de méthodes de recherche et d’analyse rigoureuses fondées sur l’observation de la Terre et du monde vivant, afin d’avoir une explication cohérente de leur état, de leur fonctionnement et de leur histoire. </w:t>
                  </w:r>
                  <w:r w:rsidR="00871EA8">
                    <w:br/>
                  </w:r>
                </w:p>
              </w:txbxContent>
            </v:textbox>
          </v:shape>
        </w:pict>
      </w:r>
      <w:r>
        <w:rPr>
          <w:noProof/>
        </w:rPr>
        <w:pict>
          <v:rect id="_x0000_s1031" style="position:absolute;margin-left:225pt;margin-top:3.4pt;width:540.3pt;height:489.5pt;z-index:251661312;visibility:visible;mso-wrap-distance-left:0;mso-wrap-distance-right:0;mso-position-vertical-relative:line" strokeweight=".5pt">
            <v:stroke joinstyle="round"/>
          </v:rect>
        </w:pict>
      </w:r>
    </w:p>
    <w:p w:rsidR="00ED1F1F" w:rsidRDefault="00ED1F1F">
      <w:pPr>
        <w:pStyle w:val="Corps"/>
      </w:pPr>
    </w:p>
    <w:p w:rsidR="00ED1F1F" w:rsidRDefault="00ED1F1F">
      <w:pPr>
        <w:pStyle w:val="Corps"/>
      </w:pPr>
    </w:p>
    <w:p w:rsidR="00ED1F1F" w:rsidRDefault="00ED1F1F">
      <w:pPr>
        <w:pStyle w:val="Corps"/>
      </w:pPr>
    </w:p>
    <w:p w:rsidR="00ED1F1F" w:rsidRDefault="00ED1F1F">
      <w:pPr>
        <w:pStyle w:val="Corps"/>
      </w:pPr>
    </w:p>
    <w:p w:rsidR="00ED1F1F" w:rsidRDefault="00ED1F1F">
      <w:pPr>
        <w:pStyle w:val="Corps"/>
      </w:pPr>
    </w:p>
    <w:p w:rsidR="00ED1F1F" w:rsidRDefault="00ED1F1F">
      <w:pPr>
        <w:pStyle w:val="Corps"/>
      </w:pPr>
    </w:p>
    <w:p w:rsidR="00ED1F1F" w:rsidRDefault="00ED1F1F">
      <w:pPr>
        <w:pStyle w:val="Corps"/>
      </w:pPr>
    </w:p>
    <w:p w:rsidR="00ED1F1F" w:rsidRDefault="00ED1F1F">
      <w:pPr>
        <w:pStyle w:val="Corps"/>
      </w:pPr>
    </w:p>
    <w:p w:rsidR="00ED1F1F" w:rsidRDefault="00ED1F1F">
      <w:pPr>
        <w:pStyle w:val="Corps"/>
      </w:pPr>
    </w:p>
    <w:p w:rsidR="00ED1F1F" w:rsidRDefault="00ED1F1F">
      <w:pPr>
        <w:pStyle w:val="Corps"/>
      </w:pPr>
    </w:p>
    <w:p w:rsidR="00ED1F1F" w:rsidRDefault="00ED1F1F">
      <w:pPr>
        <w:pStyle w:val="Corps"/>
      </w:pPr>
    </w:p>
    <w:p w:rsidR="00ED1F1F" w:rsidRDefault="00ED1F1F">
      <w:pPr>
        <w:pStyle w:val="Corps"/>
      </w:pPr>
    </w:p>
    <w:p w:rsidR="00ED1F1F" w:rsidRDefault="00ED1F1F">
      <w:pPr>
        <w:pStyle w:val="Corps"/>
      </w:pPr>
    </w:p>
    <w:p w:rsidR="00ED1F1F" w:rsidRDefault="00ED1F1F">
      <w:pPr>
        <w:pStyle w:val="Corps"/>
      </w:pPr>
    </w:p>
    <w:p w:rsidR="00ED1F1F" w:rsidRDefault="00ED1F1F">
      <w:pPr>
        <w:pStyle w:val="Corps"/>
      </w:pPr>
    </w:p>
    <w:p w:rsidR="00ED1F1F" w:rsidRDefault="00ED1F1F">
      <w:pPr>
        <w:pStyle w:val="Corps"/>
      </w:pPr>
    </w:p>
    <w:p w:rsidR="00ED1F1F" w:rsidRDefault="00751B94">
      <w:pPr>
        <w:pStyle w:val="Corps"/>
      </w:pPr>
      <w:r>
        <w:rPr>
          <w:noProof/>
        </w:rPr>
        <w:pict>
          <v:shape id="_x0000_s1030" type="#_x0000_t202" alt="Description : Zone de texte 4" style="position:absolute;margin-left:44.55pt;margin-top:13.1pt;width:172.9pt;height:226.75pt;z-index:251665408;visibility:visible;mso-wrap-distance-left:0;mso-wrap-distance-right:0;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" strokeweight=".5pt">
            <v:stroke joinstyle="round"/>
            <v:textbox inset="1.27mm,1.27mm,1.27mm,1.27mm">
              <w:txbxContent>
                <w:p w:rsidR="00ED1F1F" w:rsidRDefault="00871EA8">
                  <w:pPr>
                    <w:pStyle w:val="Pointfortparagrapheintroductif"/>
                    <w:rPr>
                      <w:rStyle w:val="Aucune"/>
                      <w:b/>
                      <w:bCs/>
                    </w:rPr>
                  </w:pPr>
                  <w:r>
                    <w:rPr>
                      <w:rStyle w:val="Aucune"/>
                      <w:b/>
                      <w:bCs/>
                    </w:rPr>
                    <w:t>Points forts du paragraphe introductif</w:t>
                  </w:r>
                </w:p>
                <w:p w:rsidR="00ED1F1F" w:rsidRDefault="00ED1F1F">
                  <w:pPr>
                    <w:pStyle w:val="Corps"/>
                    <w:rPr>
                      <w:rStyle w:val="Aucune"/>
                      <w:b/>
                      <w:bCs/>
                      <w:color w:val="4472C4"/>
                    </w:rPr>
                  </w:pPr>
                </w:p>
                <w:p w:rsidR="00A912B9" w:rsidRDefault="00A912B9">
                  <w:pPr>
                    <w:pStyle w:val="Corps"/>
                  </w:pPr>
                  <w:r>
                    <w:rPr>
                      <w:rStyle w:val="Aucune"/>
                      <w:b/>
                      <w:bCs/>
                      <w:color w:val="4472C4"/>
                    </w:rPr>
                    <w:t xml:space="preserve">Acquérir des connaissances fondamentales </w:t>
                  </w:r>
                  <w:r w:rsidR="00C679C3">
                    <w:rPr>
                      <w:rStyle w:val="Aucune"/>
                      <w:b/>
                      <w:bCs/>
                      <w:color w:val="4472C4"/>
                    </w:rPr>
                    <w:t xml:space="preserve">sur la formation des mutations. </w:t>
                  </w:r>
                </w:p>
              </w:txbxContent>
            </v:textbox>
          </v:shape>
        </w:pict>
      </w:r>
    </w:p>
    <w:p w:rsidR="00ED1F1F" w:rsidRDefault="00751B94">
      <w:pPr>
        <w:pStyle w:val="Corps"/>
      </w:pPr>
      <w:r>
        <w:rPr>
          <w:noProof/>
        </w:rPr>
        <w:pict>
          <v:shape id="_x0000_s1032" type="#_x0000_t202" alt="Description : Zone de texte 14" style="position:absolute;margin-left:231.6pt;margin-top:3.3pt;width:528.1pt;height:221.1pt;z-index:251664384;visibility:visible;mso-wrap-distance-left:0;mso-wrap-distance-right:0;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" strokeweight=".5pt">
            <v:stroke joinstyle="round"/>
            <v:textbox inset="1.27mm,1.27mm,1.27mm,1.27mm">
              <w:txbxContent>
                <w:p w:rsidR="00ED1F1F" w:rsidRDefault="00871EA8">
                  <w:pPr>
                    <w:pStyle w:val="acquiscycle4"/>
                    <w:rPr>
                      <w:rStyle w:val="Aucune"/>
                      <w:b/>
                      <w:bCs/>
                    </w:rPr>
                  </w:pPr>
                  <w:r>
                    <w:rPr>
                      <w:rStyle w:val="Aucune"/>
                      <w:b/>
                      <w:bCs/>
                    </w:rPr>
                    <w:t>Acquis du cycle 4 : AFC</w:t>
                  </w:r>
                </w:p>
                <w:p w:rsidR="002F1DE8" w:rsidRDefault="002F1DE8" w:rsidP="002F1DE8">
                  <w:pPr>
                    <w:pStyle w:val="acquiscycle4"/>
                    <w:rPr>
                      <w:rFonts w:ascii="Arial" w:eastAsia="Times New Roman" w:hAnsi="Arial" w:cs="Arial"/>
                      <w:color w:val="auto"/>
                    </w:rPr>
                  </w:pPr>
                  <w:r w:rsidRPr="00E20202">
                    <w:rPr>
                      <w:rFonts w:ascii="Arial" w:eastAsia="Times New Roman" w:hAnsi="Arial" w:cs="Arial"/>
                      <w:color w:val="auto"/>
                    </w:rPr>
                    <w:t>Mettre en relation différents faits et établir des relations de causalité pour expliquer la dynamique des populations</w:t>
                  </w:r>
                  <w:r>
                    <w:rPr>
                      <w:rFonts w:ascii="Arial" w:eastAsia="Times New Roman" w:hAnsi="Arial" w:cs="Arial"/>
                      <w:color w:val="auto"/>
                    </w:rPr>
                    <w:t>,</w:t>
                  </w:r>
                  <w:r w:rsidRPr="00E20202">
                    <w:rPr>
                      <w:rFonts w:ascii="Arial" w:hAnsi="Arial" w:cs="Arial"/>
                      <w:color w:val="auto"/>
                    </w:rPr>
                    <w:t> la biodiversité (diversité des espèces) et la diversité génétique des individus</w:t>
                  </w:r>
                  <w:r w:rsidRPr="00E20202">
                    <w:rPr>
                      <w:rFonts w:ascii="Arial" w:eastAsia="Times New Roman" w:hAnsi="Arial" w:cs="Arial"/>
                      <w:color w:val="auto"/>
                    </w:rPr>
                    <w:t>.</w:t>
                  </w:r>
                </w:p>
                <w:p w:rsidR="002F1DE8" w:rsidRPr="00E20202" w:rsidRDefault="002F1DE8" w:rsidP="002F1DE8">
                  <w:pPr>
                    <w:pStyle w:val="acquiscycle4"/>
                    <w:rPr>
                      <w:rFonts w:ascii="Arial" w:eastAsia="Times New Roman" w:hAnsi="Arial" w:cs="Arial"/>
                      <w:color w:val="auto"/>
                    </w:rPr>
                  </w:pPr>
                  <w:r>
                    <w:rPr>
                      <w:rFonts w:ascii="Arial" w:eastAsia="Times New Roman" w:hAnsi="Arial" w:cs="Arial"/>
                      <w:color w:val="auto"/>
                    </w:rPr>
                    <w:t xml:space="preserve">Expliquer quelques relations biologiques en relation avec la reproduction et la sexualité. </w:t>
                  </w:r>
                </w:p>
                <w:p w:rsidR="00ED1F1F" w:rsidRDefault="00ED1F1F">
                  <w:pPr>
                    <w:pStyle w:val="acquiscycle4"/>
                  </w:pPr>
                  <w:bookmarkStart w:id="0" w:name="_GoBack"/>
                  <w:bookmarkEnd w:id="0"/>
                </w:p>
                <w:p w:rsidR="00ED1F1F" w:rsidRDefault="005B54F2">
                  <w:pPr>
                    <w:pStyle w:val="acquiscycle4"/>
                  </w:pPr>
                  <w:r>
                    <w:t>Diversité génétique au sein d’une population</w:t>
                  </w:r>
                  <w:r w:rsidR="0070293A">
                    <w:t xml:space="preserve"> : </w:t>
                  </w:r>
                  <w:r>
                    <w:t>héritabilité,</w:t>
                  </w:r>
                  <w:r w:rsidR="0070293A">
                    <w:t xml:space="preserve"> </w:t>
                  </w:r>
                  <w:r>
                    <w:t>stabilité des groupes.</w:t>
                  </w:r>
                </w:p>
                <w:p w:rsidR="005B54F2" w:rsidRDefault="005B54F2">
                  <w:pPr>
                    <w:pStyle w:val="acquiscycle4"/>
                  </w:pPr>
                  <w:r>
                    <w:t xml:space="preserve">ADN, mutations, brassage, gène, méiose et fécondation. </w:t>
                  </w:r>
                </w:p>
                <w:p w:rsidR="00ED1F1F" w:rsidRDefault="00ED1F1F">
                  <w:pPr>
                    <w:pStyle w:val="acquiscycle4"/>
                  </w:pPr>
                </w:p>
                <w:p w:rsidR="00ED1F1F" w:rsidRDefault="00871EA8">
                  <w:pPr>
                    <w:pStyle w:val="lienseducations"/>
                    <w:spacing w:before="240"/>
                    <w:rPr>
                      <w:rStyle w:val="Aucune"/>
                      <w:b/>
                      <w:bCs/>
                    </w:rPr>
                  </w:pPr>
                  <w:r>
                    <w:rPr>
                      <w:rStyle w:val="Aucune"/>
                      <w:b/>
                      <w:bCs/>
                    </w:rPr>
                    <w:t>Lien avec les éducations à :</w:t>
                  </w:r>
                </w:p>
                <w:p w:rsidR="00ED1F1F" w:rsidRDefault="00871EA8">
                  <w:pPr>
                    <w:pStyle w:val="lienseducations"/>
                  </w:pPr>
                  <w:r>
                    <w:t>Santé: dépistage et drépanocytose</w:t>
                  </w:r>
                </w:p>
                <w:p w:rsidR="00ED1F1F" w:rsidRDefault="00871EA8">
                  <w:pPr>
                    <w:pStyle w:val="lienseducations"/>
                  </w:pPr>
                  <w:r>
                    <w:t>Développement durable</w:t>
                  </w:r>
                </w:p>
                <w:p w:rsidR="00ED1F1F" w:rsidRDefault="00871EA8">
                  <w:pPr>
                    <w:pStyle w:val="lienseducations"/>
                  </w:pPr>
                  <w:r>
                    <w:t>Citoyenneté</w:t>
                  </w:r>
                </w:p>
                <w:p w:rsidR="00ED1F1F" w:rsidRDefault="00871EA8">
                  <w:pPr>
                    <w:pStyle w:val="ouverturemetier"/>
                    <w:spacing w:before="240"/>
                    <w:rPr>
                      <w:rStyle w:val="Aucune"/>
                      <w:b/>
                      <w:bCs/>
                      <w:sz w:val="24"/>
                      <w:szCs w:val="24"/>
                    </w:rPr>
                  </w:pPr>
                  <w:r>
                    <w:rPr>
                      <w:rStyle w:val="Aucune"/>
                      <w:b/>
                      <w:bCs/>
                      <w:sz w:val="24"/>
                      <w:szCs w:val="24"/>
                    </w:rPr>
                    <w:t>Ouverture métier</w:t>
                  </w:r>
                  <w:r w:rsidR="0070293A">
                    <w:rPr>
                      <w:rStyle w:val="Aucune"/>
                      <w:b/>
                      <w:bCs/>
                      <w:sz w:val="24"/>
                      <w:szCs w:val="24"/>
                    </w:rPr>
                    <w:t> : CHU : technicien de laboratoire, généticien travaillant sur la  recherche de pathologies génétiques</w:t>
                  </w:r>
                </w:p>
                <w:p w:rsidR="00ED1F1F" w:rsidRDefault="00871EA8">
                  <w:pPr>
                    <w:pStyle w:val="lienressourceslithotheque"/>
                    <w:spacing w:before="240"/>
                  </w:pPr>
                  <w:r>
                    <w:rPr>
                      <w:rStyle w:val="Aucune"/>
                      <w:b/>
                      <w:bCs/>
                    </w:rPr>
                    <w:t xml:space="preserve">Lien avec ressources </w:t>
                  </w:r>
                  <w:proofErr w:type="spellStart"/>
                  <w:r>
                    <w:rPr>
                      <w:rStyle w:val="Aucune"/>
                      <w:b/>
                      <w:bCs/>
                    </w:rPr>
                    <w:t>lithothèque</w:t>
                  </w:r>
                  <w:proofErr w:type="spellEnd"/>
                </w:p>
              </w:txbxContent>
            </v:textbox>
          </v:shape>
        </w:pict>
      </w:r>
    </w:p>
    <w:p w:rsidR="00ED1F1F" w:rsidRDefault="00ED1F1F">
      <w:pPr>
        <w:pStyle w:val="Corps"/>
      </w:pPr>
    </w:p>
    <w:p w:rsidR="00ED1F1F" w:rsidRDefault="00ED1F1F">
      <w:pPr>
        <w:pStyle w:val="Corps"/>
      </w:pPr>
    </w:p>
    <w:p w:rsidR="00ED1F1F" w:rsidRDefault="00ED1F1F">
      <w:pPr>
        <w:pStyle w:val="Corps"/>
      </w:pPr>
    </w:p>
    <w:p w:rsidR="00ED1F1F" w:rsidRDefault="00ED1F1F">
      <w:pPr>
        <w:pStyle w:val="Corps"/>
      </w:pPr>
    </w:p>
    <w:p w:rsidR="00ED1F1F" w:rsidRDefault="00ED1F1F">
      <w:pPr>
        <w:pStyle w:val="Corps"/>
      </w:pPr>
    </w:p>
    <w:p w:rsidR="00ED1F1F" w:rsidRDefault="00ED1F1F">
      <w:pPr>
        <w:pStyle w:val="Corps"/>
      </w:pPr>
    </w:p>
    <w:p w:rsidR="00ED1F1F" w:rsidRDefault="00ED1F1F">
      <w:pPr>
        <w:pStyle w:val="Corps"/>
      </w:pPr>
    </w:p>
    <w:p w:rsidR="00ED1F1F" w:rsidRDefault="00ED1F1F">
      <w:pPr>
        <w:pStyle w:val="Corps"/>
      </w:pPr>
    </w:p>
    <w:p w:rsidR="00ED1F1F" w:rsidRDefault="00ED1F1F">
      <w:pPr>
        <w:pStyle w:val="Corps"/>
      </w:pPr>
    </w:p>
    <w:p w:rsidR="00ED1F1F" w:rsidRDefault="00ED1F1F">
      <w:pPr>
        <w:pStyle w:val="Corps"/>
      </w:pPr>
    </w:p>
    <w:p w:rsidR="00ED1F1F" w:rsidRDefault="00ED1F1F">
      <w:pPr>
        <w:pStyle w:val="Corps"/>
      </w:pPr>
    </w:p>
    <w:p w:rsidR="00ED1F1F" w:rsidRDefault="00ED1F1F">
      <w:pPr>
        <w:pStyle w:val="Corps"/>
      </w:pPr>
    </w:p>
    <w:p w:rsidR="00ED1F1F" w:rsidRDefault="00ED1F1F">
      <w:pPr>
        <w:pStyle w:val="Corps"/>
      </w:pPr>
    </w:p>
    <w:sectPr w:rsidR="00ED1F1F" w:rsidSect="00751B94">
      <w:headerReference w:type="default" r:id="rId6"/>
      <w:footerReference w:type="default" r:id="rId7"/>
      <w:pgSz w:w="16840" w:h="11900" w:orient="landscape"/>
      <w:pgMar w:top="720" w:right="720" w:bottom="720" w:left="72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C7C" w:rsidRDefault="002E7C7C">
      <w:r>
        <w:separator/>
      </w:r>
    </w:p>
  </w:endnote>
  <w:endnote w:type="continuationSeparator" w:id="0">
    <w:p w:rsidR="002E7C7C" w:rsidRDefault="002E7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1F" w:rsidRDefault="00ED1F1F">
    <w:pPr>
      <w:pStyle w:val="En-t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C7C" w:rsidRDefault="002E7C7C">
      <w:r>
        <w:separator/>
      </w:r>
    </w:p>
  </w:footnote>
  <w:footnote w:type="continuationSeparator" w:id="0">
    <w:p w:rsidR="002E7C7C" w:rsidRDefault="002E7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1F" w:rsidRDefault="00ED1F1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D1F1F"/>
    <w:rsid w:val="00070168"/>
    <w:rsid w:val="002E7C7C"/>
    <w:rsid w:val="002F1DE8"/>
    <w:rsid w:val="004A7762"/>
    <w:rsid w:val="004B2F3C"/>
    <w:rsid w:val="0058668F"/>
    <w:rsid w:val="005B54F2"/>
    <w:rsid w:val="00623D96"/>
    <w:rsid w:val="0070293A"/>
    <w:rsid w:val="00751B94"/>
    <w:rsid w:val="00871EA8"/>
    <w:rsid w:val="00A912B9"/>
    <w:rsid w:val="00C679C3"/>
    <w:rsid w:val="00ED1F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1B94"/>
    <w:rPr>
      <w:sz w:val="24"/>
      <w:szCs w:val="24"/>
      <w:lang w:val="en-US" w:eastAsia="en-US"/>
    </w:rPr>
  </w:style>
  <w:style w:type="paragraph" w:styleId="Titre1">
    <w:name w:val="heading 1"/>
    <w:next w:val="Corps"/>
    <w:rsid w:val="00751B94"/>
    <w:pPr>
      <w:jc w:val="center"/>
      <w:outlineLvl w:val="0"/>
    </w:pPr>
    <w:rPr>
      <w:rFonts w:ascii="Calibri" w:eastAsia="Calibri" w:hAnsi="Calibri" w:cs="Calibri"/>
      <w:b/>
      <w:bCs/>
      <w:color w:val="000000"/>
      <w:sz w:val="24"/>
      <w:szCs w:val="24"/>
      <w:u w:color="000000"/>
    </w:rPr>
  </w:style>
  <w:style w:type="paragraph" w:styleId="Titre2">
    <w:name w:val="heading 2"/>
    <w:next w:val="Corps"/>
    <w:rsid w:val="00751B94"/>
    <w:pPr>
      <w:jc w:val="center"/>
      <w:outlineLvl w:val="1"/>
    </w:pPr>
    <w:rPr>
      <w:rFonts w:ascii="Calibri" w:eastAsia="Calibri" w:hAnsi="Calibri" w:cs="Calibri"/>
      <w:b/>
      <w:bC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751B94"/>
    <w:rPr>
      <w:u w:val="single"/>
    </w:rPr>
  </w:style>
  <w:style w:type="table" w:customStyle="1" w:styleId="TableNormal">
    <w:name w:val="Table Normal"/>
    <w:rsid w:val="00751B94"/>
    <w:tblPr>
      <w:tblInd w:w="0" w:type="dxa"/>
      <w:tblCellMar>
        <w:top w:w="0" w:type="dxa"/>
        <w:left w:w="0" w:type="dxa"/>
        <w:bottom w:w="0" w:type="dxa"/>
        <w:right w:w="0" w:type="dxa"/>
      </w:tblCellMar>
    </w:tblPr>
  </w:style>
  <w:style w:type="paragraph" w:styleId="En-tte">
    <w:name w:val="header"/>
    <w:rsid w:val="00751B94"/>
    <w:pPr>
      <w:tabs>
        <w:tab w:val="right" w:pos="9020"/>
      </w:tabs>
    </w:pPr>
    <w:rPr>
      <w:rFonts w:ascii="Helvetica Neue" w:hAnsi="Helvetica Neue" w:cs="Arial Unicode MS"/>
      <w:color w:val="000000"/>
      <w:sz w:val="24"/>
      <w:szCs w:val="24"/>
    </w:rPr>
  </w:style>
  <w:style w:type="paragraph" w:customStyle="1" w:styleId="Corps">
    <w:name w:val="Corps"/>
    <w:rsid w:val="00751B94"/>
    <w:rPr>
      <w:rFonts w:ascii="Calibri" w:eastAsia="Calibri" w:hAnsi="Calibri" w:cs="Calibri"/>
      <w:color w:val="000000"/>
      <w:sz w:val="24"/>
      <w:szCs w:val="24"/>
      <w:u w:color="000000"/>
    </w:rPr>
  </w:style>
  <w:style w:type="character" w:customStyle="1" w:styleId="Aucune">
    <w:name w:val="Aucune"/>
    <w:rsid w:val="00751B94"/>
  </w:style>
  <w:style w:type="paragraph" w:customStyle="1" w:styleId="nouvconnaissancescapacits">
    <w:name w:val="nouv_connaissances_capacités"/>
    <w:rsid w:val="00751B94"/>
    <w:rPr>
      <w:rFonts w:ascii="Calibri" w:eastAsia="Calibri" w:hAnsi="Calibri" w:cs="Calibri"/>
      <w:color w:val="FF0000"/>
      <w:sz w:val="22"/>
      <w:szCs w:val="22"/>
      <w:u w:color="FF0000"/>
    </w:rPr>
  </w:style>
  <w:style w:type="paragraph" w:customStyle="1" w:styleId="Utilisationnumerique">
    <w:name w:val="Utilisation_numerique"/>
    <w:rsid w:val="00751B94"/>
    <w:rPr>
      <w:rFonts w:ascii="Calibri" w:eastAsia="Calibri" w:hAnsi="Calibri" w:cs="Calibri"/>
      <w:color w:val="7030A0"/>
      <w:sz w:val="22"/>
      <w:szCs w:val="22"/>
      <w:u w:color="7030A0"/>
    </w:rPr>
  </w:style>
  <w:style w:type="paragraph" w:customStyle="1" w:styleId="Ressourceslocalespossibles">
    <w:name w:val="Ressources locales possibles"/>
    <w:rsid w:val="00751B94"/>
    <w:rPr>
      <w:rFonts w:ascii="Calibri" w:eastAsia="Calibri" w:hAnsi="Calibri" w:cs="Calibri"/>
      <w:color w:val="000000"/>
      <w:sz w:val="22"/>
      <w:szCs w:val="22"/>
      <w:u w:color="000000"/>
    </w:rPr>
  </w:style>
  <w:style w:type="paragraph" w:customStyle="1" w:styleId="orientationgeneparagraphepreambule">
    <w:name w:val="orientation_gene_paragraphe_preambule"/>
    <w:rsid w:val="00751B94"/>
    <w:rPr>
      <w:rFonts w:ascii="Calibri" w:eastAsia="Calibri" w:hAnsi="Calibri" w:cs="Calibri"/>
      <w:color w:val="00B050"/>
      <w:sz w:val="22"/>
      <w:szCs w:val="22"/>
      <w:u w:color="00B050"/>
    </w:rPr>
  </w:style>
  <w:style w:type="paragraph" w:customStyle="1" w:styleId="Pointfortparagrapheintroductif">
    <w:name w:val="Point_fort paragraphe_introductif"/>
    <w:rsid w:val="00751B94"/>
    <w:rPr>
      <w:rFonts w:ascii="Calibri" w:eastAsia="Calibri" w:hAnsi="Calibri" w:cs="Calibri"/>
      <w:color w:val="4472C4"/>
      <w:sz w:val="22"/>
      <w:szCs w:val="22"/>
      <w:u w:color="4472C4"/>
    </w:rPr>
  </w:style>
  <w:style w:type="paragraph" w:customStyle="1" w:styleId="acquiscycle4">
    <w:name w:val="acquis_cycle4"/>
    <w:rsid w:val="00751B94"/>
    <w:pPr>
      <w:tabs>
        <w:tab w:val="center" w:pos="4536"/>
        <w:tab w:val="right" w:pos="9072"/>
      </w:tabs>
    </w:pPr>
    <w:rPr>
      <w:rFonts w:ascii="Calibri" w:eastAsia="Calibri" w:hAnsi="Calibri" w:cs="Calibri"/>
      <w:color w:val="000000"/>
      <w:sz w:val="22"/>
      <w:szCs w:val="22"/>
      <w:u w:color="000000"/>
    </w:rPr>
  </w:style>
  <w:style w:type="paragraph" w:customStyle="1" w:styleId="lienseducations">
    <w:name w:val="liens_educations_à"/>
    <w:rsid w:val="00751B94"/>
    <w:pPr>
      <w:tabs>
        <w:tab w:val="center" w:pos="4536"/>
        <w:tab w:val="right" w:pos="9072"/>
      </w:tabs>
    </w:pPr>
    <w:rPr>
      <w:rFonts w:ascii="Calibri" w:eastAsia="Calibri" w:hAnsi="Calibri" w:cs="Calibri"/>
      <w:color w:val="00B050"/>
      <w:sz w:val="24"/>
      <w:szCs w:val="24"/>
      <w:u w:color="00B050"/>
    </w:rPr>
  </w:style>
  <w:style w:type="paragraph" w:customStyle="1" w:styleId="ouverturemetier">
    <w:name w:val="ouverture_metier"/>
    <w:rsid w:val="00751B94"/>
    <w:pPr>
      <w:tabs>
        <w:tab w:val="center" w:pos="4536"/>
        <w:tab w:val="right" w:pos="9072"/>
      </w:tabs>
    </w:pPr>
    <w:rPr>
      <w:rFonts w:ascii="Calibri" w:eastAsia="Calibri" w:hAnsi="Calibri" w:cs="Calibri"/>
      <w:color w:val="FFC000"/>
      <w:sz w:val="22"/>
      <w:szCs w:val="22"/>
      <w:u w:color="FFC000"/>
    </w:rPr>
  </w:style>
  <w:style w:type="paragraph" w:customStyle="1" w:styleId="lienressourceslithotheque">
    <w:name w:val="lien_ressources_lithotheque"/>
    <w:rsid w:val="00751B94"/>
    <w:pPr>
      <w:tabs>
        <w:tab w:val="center" w:pos="4536"/>
        <w:tab w:val="right" w:pos="9072"/>
      </w:tabs>
    </w:pPr>
    <w:rPr>
      <w:rFonts w:ascii="Calibri" w:eastAsia="Calibri" w:hAnsi="Calibri" w:cs="Calibri"/>
      <w:color w:val="C00000"/>
      <w:sz w:val="24"/>
      <w:szCs w:val="24"/>
      <w:u w:color="C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next w:val="Corps"/>
    <w:pPr>
      <w:jc w:val="center"/>
      <w:outlineLvl w:val="0"/>
    </w:pPr>
    <w:rPr>
      <w:rFonts w:ascii="Calibri" w:eastAsia="Calibri" w:hAnsi="Calibri" w:cs="Calibri"/>
      <w:b/>
      <w:bCs/>
      <w:color w:val="000000"/>
      <w:sz w:val="24"/>
      <w:szCs w:val="24"/>
      <w:u w:color="000000"/>
    </w:rPr>
  </w:style>
  <w:style w:type="paragraph" w:styleId="Titre2">
    <w:name w:val="heading 2"/>
    <w:next w:val="Corps"/>
    <w:pPr>
      <w:jc w:val="center"/>
      <w:outlineLvl w:val="1"/>
    </w:pPr>
    <w:rPr>
      <w:rFonts w:ascii="Calibri" w:eastAsia="Calibri" w:hAnsi="Calibri" w:cs="Calibri"/>
      <w:b/>
      <w:bC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
    <w:name w:val="Corps"/>
    <w:rPr>
      <w:rFonts w:ascii="Calibri" w:eastAsia="Calibri" w:hAnsi="Calibri" w:cs="Calibri"/>
      <w:color w:val="000000"/>
      <w:sz w:val="24"/>
      <w:szCs w:val="24"/>
      <w:u w:color="000000"/>
    </w:rPr>
  </w:style>
  <w:style w:type="character" w:customStyle="1" w:styleId="Aucune">
    <w:name w:val="Aucune"/>
  </w:style>
  <w:style w:type="paragraph" w:customStyle="1" w:styleId="nouvconnaissancescapacits">
    <w:name w:val="nouv_connaissances_capacités"/>
    <w:rPr>
      <w:rFonts w:ascii="Calibri" w:eastAsia="Calibri" w:hAnsi="Calibri" w:cs="Calibri"/>
      <w:color w:val="FF0000"/>
      <w:sz w:val="22"/>
      <w:szCs w:val="22"/>
      <w:u w:color="FF0000"/>
    </w:rPr>
  </w:style>
  <w:style w:type="paragraph" w:customStyle="1" w:styleId="Utilisationnumerique">
    <w:name w:val="Utilisation_numerique"/>
    <w:rPr>
      <w:rFonts w:ascii="Calibri" w:eastAsia="Calibri" w:hAnsi="Calibri" w:cs="Calibri"/>
      <w:color w:val="7030A0"/>
      <w:sz w:val="22"/>
      <w:szCs w:val="22"/>
      <w:u w:color="7030A0"/>
    </w:rPr>
  </w:style>
  <w:style w:type="paragraph" w:customStyle="1" w:styleId="Ressourceslocalespossibles">
    <w:name w:val="Ressources locales possibles"/>
    <w:rPr>
      <w:rFonts w:ascii="Calibri" w:eastAsia="Calibri" w:hAnsi="Calibri" w:cs="Calibri"/>
      <w:color w:val="000000"/>
      <w:sz w:val="22"/>
      <w:szCs w:val="22"/>
      <w:u w:color="000000"/>
    </w:rPr>
  </w:style>
  <w:style w:type="paragraph" w:customStyle="1" w:styleId="orientationgeneparagraphepreambule">
    <w:name w:val="orientation_gene_paragraphe_preambule"/>
    <w:rPr>
      <w:rFonts w:ascii="Calibri" w:eastAsia="Calibri" w:hAnsi="Calibri" w:cs="Calibri"/>
      <w:color w:val="00B050"/>
      <w:sz w:val="22"/>
      <w:szCs w:val="22"/>
      <w:u w:color="00B050"/>
    </w:rPr>
  </w:style>
  <w:style w:type="paragraph" w:customStyle="1" w:styleId="Pointfortparagrapheintroductif">
    <w:name w:val="Point_fort paragraphe_introductif"/>
    <w:rPr>
      <w:rFonts w:ascii="Calibri" w:eastAsia="Calibri" w:hAnsi="Calibri" w:cs="Calibri"/>
      <w:color w:val="4472C4"/>
      <w:sz w:val="22"/>
      <w:szCs w:val="22"/>
      <w:u w:color="4472C4"/>
    </w:rPr>
  </w:style>
  <w:style w:type="paragraph" w:customStyle="1" w:styleId="acquiscycle4">
    <w:name w:val="acquis_cycle4"/>
    <w:pPr>
      <w:tabs>
        <w:tab w:val="center" w:pos="4536"/>
        <w:tab w:val="right" w:pos="9072"/>
      </w:tabs>
    </w:pPr>
    <w:rPr>
      <w:rFonts w:ascii="Calibri" w:eastAsia="Calibri" w:hAnsi="Calibri" w:cs="Calibri"/>
      <w:color w:val="000000"/>
      <w:sz w:val="22"/>
      <w:szCs w:val="22"/>
      <w:u w:color="000000"/>
    </w:rPr>
  </w:style>
  <w:style w:type="paragraph" w:customStyle="1" w:styleId="lienseducations">
    <w:name w:val="liens_educations_à"/>
    <w:pPr>
      <w:tabs>
        <w:tab w:val="center" w:pos="4536"/>
        <w:tab w:val="right" w:pos="9072"/>
      </w:tabs>
    </w:pPr>
    <w:rPr>
      <w:rFonts w:ascii="Calibri" w:eastAsia="Calibri" w:hAnsi="Calibri" w:cs="Calibri"/>
      <w:color w:val="00B050"/>
      <w:sz w:val="24"/>
      <w:szCs w:val="24"/>
      <w:u w:color="00B050"/>
    </w:rPr>
  </w:style>
  <w:style w:type="paragraph" w:customStyle="1" w:styleId="ouverturemetier">
    <w:name w:val="ouverture_metier"/>
    <w:pPr>
      <w:tabs>
        <w:tab w:val="center" w:pos="4536"/>
        <w:tab w:val="right" w:pos="9072"/>
      </w:tabs>
    </w:pPr>
    <w:rPr>
      <w:rFonts w:ascii="Calibri" w:eastAsia="Calibri" w:hAnsi="Calibri" w:cs="Calibri"/>
      <w:color w:val="FFC000"/>
      <w:sz w:val="22"/>
      <w:szCs w:val="22"/>
      <w:u w:color="FFC000"/>
    </w:rPr>
  </w:style>
  <w:style w:type="paragraph" w:customStyle="1" w:styleId="lienressourceslithotheque">
    <w:name w:val="lien_ressources_lithotheque"/>
    <w:pPr>
      <w:tabs>
        <w:tab w:val="center" w:pos="4536"/>
        <w:tab w:val="right" w:pos="9072"/>
      </w:tabs>
    </w:pPr>
    <w:rPr>
      <w:rFonts w:ascii="Calibri" w:eastAsia="Calibri" w:hAnsi="Calibri" w:cs="Calibri"/>
      <w:color w:val="C00000"/>
      <w:sz w:val="24"/>
      <w:szCs w:val="24"/>
      <w:u w:color="C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36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F.DONATIEN</dc:creator>
  <cp:lastModifiedBy>COLLEGE F.DONATIEN</cp:lastModifiedBy>
  <cp:revision>2</cp:revision>
  <dcterms:created xsi:type="dcterms:W3CDTF">2019-05-22T21:45:00Z</dcterms:created>
  <dcterms:modified xsi:type="dcterms:W3CDTF">2019-05-22T21:45:00Z</dcterms:modified>
</cp:coreProperties>
</file>